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1.xml" ContentType="application/vnd.openxmlformats-officedocument.themeOverride+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theme/themeOverride3.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4.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theme/themeOverride5.xml" ContentType="application/vnd.openxmlformats-officedocument.themeOverride+xml"/>
  <Override PartName="/word/charts/chart16.xml" ContentType="application/vnd.openxmlformats-officedocument.drawingml.chart+xml"/>
  <Override PartName="/word/theme/themeOverride6.xml" ContentType="application/vnd.openxmlformats-officedocument.themeOverride+xml"/>
  <Override PartName="/word/charts/chart17.xml" ContentType="application/vnd.openxmlformats-officedocument.drawingml.chart+xml"/>
  <Override PartName="/word/theme/themeOverride7.xml" ContentType="application/vnd.openxmlformats-officedocument.themeOverride+xml"/>
  <Override PartName="/word/charts/chart18.xml" ContentType="application/vnd.openxmlformats-officedocument.drawingml.chart+xml"/>
  <Override PartName="/word/theme/themeOverride8.xml" ContentType="application/vnd.openxmlformats-officedocument.themeOverride+xml"/>
  <Override PartName="/word/charts/chart19.xml" ContentType="application/vnd.openxmlformats-officedocument.drawingml.chart+xml"/>
  <Override PartName="/word/theme/themeOverride9.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10.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11.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theme/themeOverride12.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theme/themeOverride13.xml" ContentType="application/vnd.openxmlformats-officedocument.themeOverride+xml"/>
  <Override PartName="/word/charts/chart28.xml" ContentType="application/vnd.openxmlformats-officedocument.drawingml.chart+xml"/>
  <Override PartName="/word/charts/chart29.xml" ContentType="application/vnd.openxmlformats-officedocument.drawingml.chart+xml"/>
  <Override PartName="/word/theme/themeOverride14.xml" ContentType="application/vnd.openxmlformats-officedocument.themeOverride+xml"/>
  <Override PartName="/word/charts/chart30.xml" ContentType="application/vnd.openxmlformats-officedocument.drawingml.chart+xml"/>
  <Override PartName="/word/theme/themeOverride15.xml" ContentType="application/vnd.openxmlformats-officedocument.themeOverride+xml"/>
  <Override PartName="/word/charts/chart31.xml" ContentType="application/vnd.openxmlformats-officedocument.drawingml.chart+xml"/>
  <Override PartName="/word/theme/themeOverride16.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theme/themeOverride17.xml" ContentType="application/vnd.openxmlformats-officedocument.themeOverride+xml"/>
  <Override PartName="/word/charts/chart34.xml" ContentType="application/vnd.openxmlformats-officedocument.drawingml.chart+xml"/>
  <Override PartName="/word/theme/themeOverride18.xml" ContentType="application/vnd.openxmlformats-officedocument.themeOverride+xml"/>
  <Override PartName="/word/charts/chart35.xml" ContentType="application/vnd.openxmlformats-officedocument.drawingml.chart+xml"/>
  <Override PartName="/word/theme/themeOverride19.xml" ContentType="application/vnd.openxmlformats-officedocument.themeOverride+xml"/>
  <Override PartName="/word/charts/chart36.xml" ContentType="application/vnd.openxmlformats-officedocument.drawingml.chart+xml"/>
  <Override PartName="/word/charts/chart37.xml" ContentType="application/vnd.openxmlformats-officedocument.drawingml.chart+xml"/>
  <Override PartName="/word/theme/themeOverride20.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theme/themeOverride21.xml" ContentType="application/vnd.openxmlformats-officedocument.themeOverride+xml"/>
  <Override PartName="/word/charts/chart40.xml" ContentType="application/vnd.openxmlformats-officedocument.drawingml.chart+xml"/>
  <Override PartName="/word/charts/chart41.xml" ContentType="application/vnd.openxmlformats-officedocument.drawingml.chart+xml"/>
  <Override PartName="/word/theme/themeOverride22.xml" ContentType="application/vnd.openxmlformats-officedocument.themeOverride+xml"/>
  <Override PartName="/word/charts/chart42.xml" ContentType="application/vnd.openxmlformats-officedocument.drawingml.chart+xml"/>
  <Override PartName="/word/charts/chart43.xml" ContentType="application/vnd.openxmlformats-officedocument.drawingml.chart+xml"/>
  <Override PartName="/word/theme/themeOverride23.xml" ContentType="application/vnd.openxmlformats-officedocument.themeOverride+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theme/themeOverride24.xml" ContentType="application/vnd.openxmlformats-officedocument.themeOverride+xml"/>
  <Override PartName="/word/charts/chart47.xml" ContentType="application/vnd.openxmlformats-officedocument.drawingml.chart+xml"/>
  <Override PartName="/word/theme/themeOverride25.xml" ContentType="application/vnd.openxmlformats-officedocument.themeOverride+xml"/>
  <Override PartName="/word/charts/chart48.xml" ContentType="application/vnd.openxmlformats-officedocument.drawingml.chart+xml"/>
  <Override PartName="/word/theme/themeOverride26.xml" ContentType="application/vnd.openxmlformats-officedocument.themeOverride+xml"/>
  <Override PartName="/word/charts/chart49.xml" ContentType="application/vnd.openxmlformats-officedocument.drawingml.chart+xml"/>
  <Override PartName="/word/theme/themeOverride27.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theme/themeOverride28.xml" ContentType="application/vnd.openxmlformats-officedocument.themeOverride+xml"/>
  <Override PartName="/word/charts/chart53.xml" ContentType="application/vnd.openxmlformats-officedocument.drawingml.chart+xml"/>
  <Override PartName="/word/theme/themeOverride29.xml" ContentType="application/vnd.openxmlformats-officedocument.themeOverride+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0750" w:rsidRPr="006123B0" w:rsidRDefault="00D40750" w:rsidP="00D40750">
      <w:pPr>
        <w:rPr>
          <w:rFonts w:ascii="Arial" w:hAnsi="Arial" w:cs="Arial"/>
          <w:b/>
        </w:rPr>
      </w:pPr>
      <w:r w:rsidRPr="006123B0">
        <w:rPr>
          <w:rFonts w:ascii="Arial" w:hAnsi="Arial" w:cs="Arial"/>
          <w:b/>
        </w:rPr>
        <w:t>PREMESSA</w:t>
      </w:r>
    </w:p>
    <w:p w:rsidR="00D40750" w:rsidRPr="006123B0" w:rsidRDefault="00D40750" w:rsidP="00D40750">
      <w:pPr>
        <w:pStyle w:val="Nessunaspaziatura"/>
        <w:spacing w:line="360" w:lineRule="auto"/>
        <w:jc w:val="both"/>
        <w:rPr>
          <w:rFonts w:ascii="Arial" w:hAnsi="Arial" w:cs="Arial"/>
        </w:rPr>
      </w:pPr>
      <w:r w:rsidRPr="006123B0">
        <w:rPr>
          <w:rFonts w:ascii="Arial" w:hAnsi="Arial" w:cs="Arial"/>
        </w:rPr>
        <w:t xml:space="preserve">La descrizione dello stato di salute della popolazione di seguito presentata è stata condotta in modo comparativo sui 3 macro-distretti  della ATS: Mantova, Cremona e Crema.  Ciò allo scopo di cogliere, in occasione della predisposizione del nuovo POAS, eventuali apprezzabili differenze territoriali in grado di meglio orientare l’attenzione sia verso i determinanti di salute e di malattia che sugli esiti dei percorsi socio-assistenziali, specchio della loro qualità sostanziale. </w:t>
      </w:r>
    </w:p>
    <w:p w:rsidR="00D40750" w:rsidRPr="006123B0" w:rsidRDefault="00D40750" w:rsidP="00D40750">
      <w:pPr>
        <w:pStyle w:val="Nessunaspaziatura"/>
        <w:spacing w:line="360" w:lineRule="auto"/>
        <w:jc w:val="both"/>
        <w:rPr>
          <w:rFonts w:ascii="Arial" w:hAnsi="Arial" w:cs="Arial"/>
        </w:rPr>
      </w:pPr>
      <w:r w:rsidRPr="006123B0">
        <w:rPr>
          <w:rFonts w:ascii="Arial" w:hAnsi="Arial" w:cs="Arial"/>
        </w:rPr>
        <w:t>Quindi un</w:t>
      </w:r>
      <w:r w:rsidR="00A8629C" w:rsidRPr="006123B0">
        <w:rPr>
          <w:rFonts w:ascii="Arial" w:hAnsi="Arial" w:cs="Arial"/>
        </w:rPr>
        <w:t xml:space="preserve"> primo sguardo </w:t>
      </w:r>
      <w:r w:rsidRPr="006123B0">
        <w:rPr>
          <w:rFonts w:ascii="Arial" w:hAnsi="Arial" w:cs="Arial"/>
        </w:rPr>
        <w:t>di carattere generale, indispensabile però per indicare le successive linee di approfondimento, a sostegno della programmazione strategica della ATS. Il ruolo che giustifica la collocazione dell’Osservatorio Epidemiologico in staff alla Direzione Generale.</w:t>
      </w:r>
    </w:p>
    <w:p w:rsidR="00D40750" w:rsidRPr="006123B0" w:rsidRDefault="00D40750" w:rsidP="00D40750">
      <w:pPr>
        <w:pStyle w:val="Nessunaspaziatura"/>
        <w:spacing w:line="360" w:lineRule="auto"/>
        <w:jc w:val="both"/>
        <w:rPr>
          <w:rFonts w:ascii="Arial" w:hAnsi="Arial" w:cs="Arial"/>
        </w:rPr>
      </w:pPr>
      <w:r w:rsidRPr="006123B0">
        <w:rPr>
          <w:rFonts w:ascii="Arial" w:hAnsi="Arial" w:cs="Arial"/>
        </w:rPr>
        <w:t>Pur provenendo dalle medesime fonti, per i flussi informativi che hanno alimentato la “banca dati” delle due ex-ASL si è reso necessario qualche allineamento e verifica di confrontabilità che richiede ancora un perfezionamento, ma che comunque non potrà dar luogo ad aggiustamenti sostanziali dei risultati presentati.</w:t>
      </w:r>
    </w:p>
    <w:p w:rsidR="00D40750" w:rsidRPr="006123B0" w:rsidRDefault="00D40750" w:rsidP="00D40750">
      <w:pPr>
        <w:pStyle w:val="Nessunaspaziatura"/>
        <w:spacing w:line="360" w:lineRule="auto"/>
        <w:jc w:val="both"/>
        <w:rPr>
          <w:rFonts w:ascii="Arial" w:hAnsi="Arial" w:cs="Arial"/>
        </w:rPr>
      </w:pPr>
      <w:r w:rsidRPr="006123B0">
        <w:rPr>
          <w:rFonts w:ascii="Arial" w:hAnsi="Arial" w:cs="Arial"/>
        </w:rPr>
        <w:t xml:space="preserve">Gli indicatori di salute esaminati costituiscono soltanto una parte del tutto, ma </w:t>
      </w:r>
      <w:r w:rsidR="003D2DCE" w:rsidRPr="006123B0">
        <w:rPr>
          <w:rFonts w:ascii="Arial" w:hAnsi="Arial" w:cs="Arial"/>
        </w:rPr>
        <w:t xml:space="preserve">la </w:t>
      </w:r>
      <w:r w:rsidRPr="006123B0">
        <w:rPr>
          <w:rFonts w:ascii="Arial" w:hAnsi="Arial" w:cs="Arial"/>
        </w:rPr>
        <w:t xml:space="preserve">loro selezione è avvenuta sulla base di criteri funzionali allo scopo di cui in premessa. </w:t>
      </w:r>
    </w:p>
    <w:p w:rsidR="00D40750" w:rsidRPr="006123B0" w:rsidRDefault="00A8629C" w:rsidP="00D40750">
      <w:pPr>
        <w:pStyle w:val="Nessunaspaziatura"/>
        <w:spacing w:line="360" w:lineRule="auto"/>
        <w:jc w:val="both"/>
        <w:rPr>
          <w:rFonts w:ascii="Arial" w:hAnsi="Arial" w:cs="Arial"/>
        </w:rPr>
      </w:pPr>
      <w:r w:rsidRPr="006123B0">
        <w:rPr>
          <w:rFonts w:ascii="Arial" w:hAnsi="Arial" w:cs="Arial"/>
        </w:rPr>
        <w:t xml:space="preserve">Solitamente un </w:t>
      </w:r>
      <w:r w:rsidR="00D40750" w:rsidRPr="006123B0">
        <w:rPr>
          <w:rFonts w:ascii="Arial" w:hAnsi="Arial" w:cs="Arial"/>
        </w:rPr>
        <w:t xml:space="preserve">indicatore è fornito di un valore in sé, puntuale e specifico, ma, nella misura in cui, attraverso l’interpretazione sostenuta dalla letteratura scientifica, il medesimo viene collegato ad altri, si </w:t>
      </w:r>
      <w:r w:rsidRPr="006123B0">
        <w:rPr>
          <w:rFonts w:ascii="Arial" w:hAnsi="Arial" w:cs="Arial"/>
        </w:rPr>
        <w:t xml:space="preserve">disvela </w:t>
      </w:r>
      <w:r w:rsidR="00D40750" w:rsidRPr="006123B0">
        <w:rPr>
          <w:rFonts w:ascii="Arial" w:hAnsi="Arial" w:cs="Arial"/>
        </w:rPr>
        <w:t>una traccia in grado di fornire un’</w:t>
      </w:r>
      <w:proofErr w:type="spellStart"/>
      <w:r w:rsidR="00D40750" w:rsidRPr="006123B0">
        <w:rPr>
          <w:rFonts w:ascii="Arial" w:hAnsi="Arial" w:cs="Arial"/>
        </w:rPr>
        <w:t>ulteriorità</w:t>
      </w:r>
      <w:proofErr w:type="spellEnd"/>
      <w:r w:rsidR="00D40750" w:rsidRPr="006123B0">
        <w:rPr>
          <w:rFonts w:ascii="Arial" w:hAnsi="Arial" w:cs="Arial"/>
        </w:rPr>
        <w:t xml:space="preserve"> di significato. Ed è a questo livello che si possono cogliere non solo muti fatti isolati, ma fenomeni dotati di senso. Esattamente ciò che accade quando dai singoli accertamenti sanitari si perviene ad una diagnosi clinica. In epidemiologia non a livello di individuo, ma di popolazione. E’ questa un insieme mai riducibile alla sommatoria dei soggetti che la compongono, in quanto costantemente arricchita dall’interazione reciproca degli individui tra loro e con l’ambiente in cui vivono, inteso nella sua più ampia accezione di habitat, onnicomprensivo di natura, cultura e lavoro.</w:t>
      </w:r>
    </w:p>
    <w:p w:rsidR="003A240A" w:rsidRPr="006123B0" w:rsidRDefault="003A240A">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D40750" w:rsidRPr="006123B0" w:rsidRDefault="00D40750">
      <w:pPr>
        <w:rPr>
          <w:rFonts w:ascii="Arial" w:hAnsi="Arial" w:cs="Arial"/>
          <w:b/>
        </w:rPr>
      </w:pPr>
    </w:p>
    <w:p w:rsidR="002F0E1B" w:rsidRDefault="002F0E1B">
      <w:pPr>
        <w:rPr>
          <w:rFonts w:ascii="Arial" w:hAnsi="Arial" w:cs="Arial"/>
          <w:b/>
        </w:rPr>
      </w:pPr>
    </w:p>
    <w:p w:rsidR="00EF6AD6" w:rsidRPr="006123B0" w:rsidRDefault="001A75EE">
      <w:pPr>
        <w:rPr>
          <w:rFonts w:ascii="Arial" w:hAnsi="Arial" w:cs="Arial"/>
          <w:b/>
        </w:rPr>
      </w:pPr>
      <w:r w:rsidRPr="006123B0">
        <w:rPr>
          <w:rFonts w:ascii="Arial" w:hAnsi="Arial" w:cs="Arial"/>
          <w:b/>
        </w:rPr>
        <w:lastRenderedPageBreak/>
        <w:t>LA DEMOGRAFIA</w:t>
      </w:r>
    </w:p>
    <w:p w:rsidR="00E45150" w:rsidRPr="006123B0" w:rsidRDefault="00E45150" w:rsidP="00B161AA">
      <w:pPr>
        <w:jc w:val="both"/>
        <w:rPr>
          <w:rFonts w:ascii="Arial" w:hAnsi="Arial" w:cs="Arial"/>
        </w:rPr>
      </w:pPr>
      <w:r w:rsidRPr="006123B0">
        <w:rPr>
          <w:rFonts w:ascii="Arial" w:hAnsi="Arial" w:cs="Arial"/>
        </w:rPr>
        <w:t>La ATS Val Padana</w:t>
      </w:r>
      <w:r w:rsidR="00C92806" w:rsidRPr="006123B0">
        <w:rPr>
          <w:rFonts w:ascii="Arial" w:hAnsi="Arial" w:cs="Arial"/>
        </w:rPr>
        <w:t>, che c</w:t>
      </w:r>
      <w:r w:rsidRPr="006123B0">
        <w:rPr>
          <w:rFonts w:ascii="Arial" w:hAnsi="Arial" w:cs="Arial"/>
        </w:rPr>
        <w:t xml:space="preserve">omprende </w:t>
      </w:r>
      <w:r w:rsidR="00C92806" w:rsidRPr="006123B0">
        <w:rPr>
          <w:rFonts w:ascii="Arial" w:hAnsi="Arial" w:cs="Arial"/>
        </w:rPr>
        <w:t xml:space="preserve">i </w:t>
      </w:r>
      <w:r w:rsidR="00FE3D36" w:rsidRPr="006123B0">
        <w:rPr>
          <w:rFonts w:ascii="Arial" w:hAnsi="Arial" w:cs="Arial"/>
        </w:rPr>
        <w:t>Distretti</w:t>
      </w:r>
      <w:r w:rsidRPr="006123B0">
        <w:rPr>
          <w:rFonts w:ascii="Arial" w:hAnsi="Arial" w:cs="Arial"/>
        </w:rPr>
        <w:t xml:space="preserve"> di Mantova, Cremona e Crema</w:t>
      </w:r>
      <w:r w:rsidR="00C92806" w:rsidRPr="006123B0">
        <w:rPr>
          <w:rFonts w:ascii="Arial" w:hAnsi="Arial" w:cs="Arial"/>
        </w:rPr>
        <w:t xml:space="preserve">, mostra </w:t>
      </w:r>
      <w:r w:rsidRPr="006123B0">
        <w:rPr>
          <w:rFonts w:ascii="Arial" w:hAnsi="Arial" w:cs="Arial"/>
        </w:rPr>
        <w:t xml:space="preserve">una </w:t>
      </w:r>
      <w:r w:rsidR="00C92806" w:rsidRPr="006123B0">
        <w:rPr>
          <w:rFonts w:ascii="Arial" w:hAnsi="Arial" w:cs="Arial"/>
        </w:rPr>
        <w:t xml:space="preserve">distribuzione </w:t>
      </w:r>
      <w:r w:rsidRPr="006123B0">
        <w:rPr>
          <w:rFonts w:ascii="Arial" w:hAnsi="Arial" w:cs="Arial"/>
        </w:rPr>
        <w:t xml:space="preserve">di popolazione </w:t>
      </w:r>
      <w:r w:rsidR="00C92806" w:rsidRPr="006123B0">
        <w:rPr>
          <w:rFonts w:ascii="Arial" w:hAnsi="Arial" w:cs="Arial"/>
        </w:rPr>
        <w:t xml:space="preserve">quantitativamente </w:t>
      </w:r>
      <w:r w:rsidRPr="006123B0">
        <w:rPr>
          <w:rFonts w:ascii="Arial" w:hAnsi="Arial" w:cs="Arial"/>
        </w:rPr>
        <w:t>disomogenea</w:t>
      </w:r>
      <w:r w:rsidR="00C92806" w:rsidRPr="006123B0">
        <w:rPr>
          <w:rFonts w:ascii="Arial" w:hAnsi="Arial" w:cs="Arial"/>
        </w:rPr>
        <w:t>,</w:t>
      </w:r>
      <w:r w:rsidRPr="006123B0">
        <w:rPr>
          <w:rFonts w:ascii="Arial" w:hAnsi="Arial" w:cs="Arial"/>
        </w:rPr>
        <w:t xml:space="preserve"> come </w:t>
      </w:r>
      <w:r w:rsidR="00C92806" w:rsidRPr="006123B0">
        <w:rPr>
          <w:rFonts w:ascii="Arial" w:hAnsi="Arial" w:cs="Arial"/>
        </w:rPr>
        <w:t xml:space="preserve">emerge </w:t>
      </w:r>
      <w:r w:rsidR="0038494F" w:rsidRPr="006123B0">
        <w:rPr>
          <w:rFonts w:ascii="Arial" w:hAnsi="Arial" w:cs="Arial"/>
        </w:rPr>
        <w:t>dall’Anagrafe Assistiti al gennaio 2016</w:t>
      </w:r>
    </w:p>
    <w:p w:rsidR="002A066D" w:rsidRPr="006123B0" w:rsidRDefault="002A066D" w:rsidP="00B161AA">
      <w:pPr>
        <w:jc w:val="both"/>
        <w:rPr>
          <w:rFonts w:ascii="Arial" w:hAnsi="Arial" w:cs="Arial"/>
        </w:rPr>
      </w:pPr>
    </w:p>
    <w:p w:rsidR="00E45150" w:rsidRPr="006123B0" w:rsidRDefault="002A066D" w:rsidP="0038494F">
      <w:pPr>
        <w:jc w:val="center"/>
        <w:rPr>
          <w:rFonts w:ascii="Arial" w:hAnsi="Arial" w:cs="Arial"/>
        </w:rPr>
      </w:pPr>
      <w:r w:rsidRPr="006123B0">
        <w:rPr>
          <w:rFonts w:ascii="Arial" w:hAnsi="Arial" w:cs="Arial"/>
          <w:noProof/>
          <w:lang w:eastAsia="it-IT"/>
        </w:rPr>
        <w:drawing>
          <wp:inline distT="0" distB="0" distL="0" distR="0" wp14:anchorId="1D3AD065" wp14:editId="74597F91">
            <wp:extent cx="4267200" cy="1981200"/>
            <wp:effectExtent l="0" t="0" r="19050" b="19050"/>
            <wp:docPr id="6" name="Gra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F6AD6" w:rsidRPr="006123B0" w:rsidRDefault="00E45150" w:rsidP="00DB3311">
      <w:pPr>
        <w:pStyle w:val="Nessunaspaziatura"/>
        <w:jc w:val="both"/>
        <w:rPr>
          <w:rFonts w:ascii="Arial" w:hAnsi="Arial" w:cs="Arial"/>
        </w:rPr>
      </w:pPr>
      <w:r w:rsidRPr="006123B0">
        <w:rPr>
          <w:rFonts w:ascii="Arial" w:hAnsi="Arial" w:cs="Arial"/>
        </w:rPr>
        <w:t xml:space="preserve">Molto più omogenea </w:t>
      </w:r>
      <w:r w:rsidR="00C92806" w:rsidRPr="006123B0">
        <w:rPr>
          <w:rFonts w:ascii="Arial" w:hAnsi="Arial" w:cs="Arial"/>
        </w:rPr>
        <w:t xml:space="preserve">risulta </w:t>
      </w:r>
      <w:r w:rsidRPr="006123B0">
        <w:rPr>
          <w:rFonts w:ascii="Arial" w:hAnsi="Arial" w:cs="Arial"/>
        </w:rPr>
        <w:t xml:space="preserve">invece la struttura </w:t>
      </w:r>
      <w:r w:rsidR="00C92806" w:rsidRPr="006123B0">
        <w:rPr>
          <w:rFonts w:ascii="Arial" w:hAnsi="Arial" w:cs="Arial"/>
        </w:rPr>
        <w:t xml:space="preserve">per classi di età e genere </w:t>
      </w:r>
      <w:r w:rsidRPr="006123B0">
        <w:rPr>
          <w:rFonts w:ascii="Arial" w:hAnsi="Arial" w:cs="Arial"/>
        </w:rPr>
        <w:t>della popolazione residente</w:t>
      </w:r>
      <w:r w:rsidR="00C92806" w:rsidRPr="006123B0">
        <w:rPr>
          <w:rFonts w:ascii="Arial" w:hAnsi="Arial" w:cs="Arial"/>
        </w:rPr>
        <w:t>,</w:t>
      </w:r>
      <w:r w:rsidRPr="006123B0">
        <w:rPr>
          <w:rFonts w:ascii="Arial" w:hAnsi="Arial" w:cs="Arial"/>
        </w:rPr>
        <w:t xml:space="preserve"> confermando </w:t>
      </w:r>
      <w:r w:rsidR="0038494F" w:rsidRPr="006123B0">
        <w:rPr>
          <w:rFonts w:ascii="Arial" w:hAnsi="Arial" w:cs="Arial"/>
        </w:rPr>
        <w:t>la tendenza</w:t>
      </w:r>
      <w:r w:rsidR="00C92806" w:rsidRPr="006123B0">
        <w:rPr>
          <w:rFonts w:ascii="Arial" w:hAnsi="Arial" w:cs="Arial"/>
        </w:rPr>
        <w:t>,</w:t>
      </w:r>
      <w:r w:rsidR="0038494F" w:rsidRPr="006123B0">
        <w:rPr>
          <w:rFonts w:ascii="Arial" w:hAnsi="Arial" w:cs="Arial"/>
        </w:rPr>
        <w:t xml:space="preserve"> </w:t>
      </w:r>
      <w:r w:rsidRPr="006123B0">
        <w:rPr>
          <w:rFonts w:ascii="Arial" w:hAnsi="Arial" w:cs="Arial"/>
        </w:rPr>
        <w:t xml:space="preserve">comune a tutta la </w:t>
      </w:r>
      <w:r w:rsidR="00C92806" w:rsidRPr="006123B0">
        <w:rPr>
          <w:rFonts w:ascii="Arial" w:hAnsi="Arial" w:cs="Arial"/>
        </w:rPr>
        <w:t>r</w:t>
      </w:r>
      <w:r w:rsidR="0038494F" w:rsidRPr="006123B0">
        <w:rPr>
          <w:rFonts w:ascii="Arial" w:hAnsi="Arial" w:cs="Arial"/>
        </w:rPr>
        <w:t xml:space="preserve">egione </w:t>
      </w:r>
      <w:r w:rsidRPr="006123B0">
        <w:rPr>
          <w:rFonts w:ascii="Arial" w:hAnsi="Arial" w:cs="Arial"/>
        </w:rPr>
        <w:t>Lombardia</w:t>
      </w:r>
      <w:r w:rsidR="00C92806" w:rsidRPr="006123B0">
        <w:rPr>
          <w:rFonts w:ascii="Arial" w:hAnsi="Arial" w:cs="Arial"/>
        </w:rPr>
        <w:t xml:space="preserve"> oltre che all’</w:t>
      </w:r>
      <w:r w:rsidRPr="006123B0">
        <w:rPr>
          <w:rFonts w:ascii="Arial" w:hAnsi="Arial" w:cs="Arial"/>
        </w:rPr>
        <w:t>intero territorio nazionale</w:t>
      </w:r>
      <w:r w:rsidR="00C92806" w:rsidRPr="006123B0">
        <w:rPr>
          <w:rFonts w:ascii="Arial" w:hAnsi="Arial" w:cs="Arial"/>
        </w:rPr>
        <w:t>,</w:t>
      </w:r>
      <w:r w:rsidR="00826B8E" w:rsidRPr="006123B0">
        <w:rPr>
          <w:rFonts w:ascii="Arial" w:hAnsi="Arial" w:cs="Arial"/>
        </w:rPr>
        <w:t xml:space="preserve"> </w:t>
      </w:r>
      <w:r w:rsidR="00C92806" w:rsidRPr="006123B0">
        <w:rPr>
          <w:rFonts w:ascii="Arial" w:hAnsi="Arial" w:cs="Arial"/>
        </w:rPr>
        <w:t>di una</w:t>
      </w:r>
      <w:r w:rsidR="00DB3311" w:rsidRPr="006123B0">
        <w:rPr>
          <w:rFonts w:ascii="Arial" w:hAnsi="Arial" w:cs="Arial"/>
        </w:rPr>
        <w:t xml:space="preserve"> </w:t>
      </w:r>
      <w:r w:rsidRPr="006123B0">
        <w:rPr>
          <w:rFonts w:ascii="Arial" w:hAnsi="Arial" w:cs="Arial"/>
        </w:rPr>
        <w:t>popolazione adulta/anziana ben superiore alla popolazione pediatrica/giovane.</w:t>
      </w:r>
    </w:p>
    <w:p w:rsidR="006E0B58" w:rsidRPr="006123B0" w:rsidRDefault="006E0B58" w:rsidP="00DB3311">
      <w:pPr>
        <w:pStyle w:val="Nessunaspaziatura"/>
        <w:jc w:val="both"/>
        <w:rPr>
          <w:rFonts w:ascii="Arial" w:hAnsi="Arial" w:cs="Arial"/>
        </w:rPr>
      </w:pPr>
    </w:p>
    <w:p w:rsidR="002F1653" w:rsidRPr="006123B0" w:rsidRDefault="002F1653">
      <w:pPr>
        <w:rPr>
          <w:rFonts w:ascii="Arial" w:hAnsi="Arial" w:cs="Arial"/>
        </w:rPr>
      </w:pPr>
      <w:r w:rsidRPr="006123B0">
        <w:rPr>
          <w:rFonts w:ascii="Arial" w:hAnsi="Arial" w:cs="Arial"/>
          <w:noProof/>
          <w:lang w:eastAsia="it-IT"/>
        </w:rPr>
        <w:drawing>
          <wp:inline distT="0" distB="0" distL="0" distR="0" wp14:anchorId="287FC574" wp14:editId="48C6BCA5">
            <wp:extent cx="2152650" cy="1885950"/>
            <wp:effectExtent l="0" t="0" r="19050" b="19050"/>
            <wp:docPr id="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6123B0">
        <w:rPr>
          <w:rFonts w:ascii="Arial" w:hAnsi="Arial" w:cs="Arial"/>
          <w:noProof/>
          <w:lang w:eastAsia="it-IT"/>
        </w:rPr>
        <w:drawing>
          <wp:inline distT="0" distB="0" distL="0" distR="0" wp14:anchorId="0B3FE70D" wp14:editId="2D8FA0C9">
            <wp:extent cx="1857375" cy="1905000"/>
            <wp:effectExtent l="0" t="0" r="9525" b="19050"/>
            <wp:docPr id="2" name="Gra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6123B0">
        <w:rPr>
          <w:rFonts w:ascii="Arial" w:hAnsi="Arial" w:cs="Arial"/>
          <w:noProof/>
          <w:lang w:eastAsia="it-IT"/>
        </w:rPr>
        <w:drawing>
          <wp:inline distT="0" distB="0" distL="0" distR="0" wp14:anchorId="7A18084C" wp14:editId="07033E2E">
            <wp:extent cx="2038350" cy="1914525"/>
            <wp:effectExtent l="0" t="0" r="19050" b="9525"/>
            <wp:docPr id="3" name="Gra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11D79" w:rsidRPr="006123B0" w:rsidRDefault="00E11D79">
      <w:pPr>
        <w:rPr>
          <w:rFonts w:ascii="Arial" w:hAnsi="Arial" w:cs="Arial"/>
        </w:rPr>
        <w:sectPr w:rsidR="00E11D79" w:rsidRPr="006123B0" w:rsidSect="004D0A31">
          <w:footerReference w:type="default" r:id="rId13"/>
          <w:type w:val="continuous"/>
          <w:pgSz w:w="11906" w:h="16838"/>
          <w:pgMar w:top="1417" w:right="1134" w:bottom="1134" w:left="1134" w:header="708" w:footer="708" w:gutter="0"/>
          <w:cols w:space="708"/>
          <w:docGrid w:linePitch="360"/>
        </w:sectPr>
      </w:pPr>
    </w:p>
    <w:p w:rsidR="006E0B58" w:rsidRPr="006123B0" w:rsidRDefault="006E0B58" w:rsidP="00DB3311">
      <w:pPr>
        <w:spacing w:after="120"/>
        <w:jc w:val="both"/>
        <w:rPr>
          <w:rFonts w:ascii="Arial" w:hAnsi="Arial" w:cs="Arial"/>
        </w:rPr>
      </w:pPr>
    </w:p>
    <w:p w:rsidR="00131D5F" w:rsidRPr="006123B0" w:rsidRDefault="005E01CF" w:rsidP="00DB3311">
      <w:pPr>
        <w:spacing w:after="120"/>
        <w:jc w:val="both"/>
        <w:rPr>
          <w:rFonts w:ascii="Arial" w:hAnsi="Arial" w:cs="Arial"/>
        </w:rPr>
      </w:pPr>
      <w:r w:rsidRPr="006123B0">
        <w:rPr>
          <w:rFonts w:ascii="Arial" w:hAnsi="Arial" w:cs="Arial"/>
        </w:rPr>
        <w:t>L’indice di vecchiaia</w:t>
      </w:r>
      <w:r w:rsidR="00427767" w:rsidRPr="006123B0">
        <w:rPr>
          <w:rFonts w:ascii="Arial" w:hAnsi="Arial" w:cs="Arial"/>
        </w:rPr>
        <w:t xml:space="preserve"> </w:t>
      </w:r>
      <w:r w:rsidRPr="006123B0">
        <w:rPr>
          <w:rFonts w:ascii="Arial" w:hAnsi="Arial" w:cs="Arial"/>
        </w:rPr>
        <w:t xml:space="preserve">risulta più alto </w:t>
      </w:r>
      <w:r w:rsidR="00B161AA" w:rsidRPr="006123B0">
        <w:rPr>
          <w:rFonts w:ascii="Arial" w:hAnsi="Arial" w:cs="Arial"/>
        </w:rPr>
        <w:t>a</w:t>
      </w:r>
      <w:r w:rsidRPr="006123B0">
        <w:rPr>
          <w:rFonts w:ascii="Arial" w:hAnsi="Arial" w:cs="Arial"/>
        </w:rPr>
        <w:t xml:space="preserve"> Cremona, più basso e in linea con la Regione </w:t>
      </w:r>
      <w:r w:rsidR="00DB3311" w:rsidRPr="006123B0">
        <w:rPr>
          <w:rFonts w:ascii="Arial" w:hAnsi="Arial" w:cs="Arial"/>
        </w:rPr>
        <w:t>a Crema. Nel mezzo a Mantova.</w:t>
      </w:r>
    </w:p>
    <w:tbl>
      <w:tblPr>
        <w:tblW w:w="6301" w:type="dxa"/>
        <w:jc w:val="center"/>
        <w:tblInd w:w="55" w:type="dxa"/>
        <w:tblCellMar>
          <w:left w:w="70" w:type="dxa"/>
          <w:right w:w="70" w:type="dxa"/>
        </w:tblCellMar>
        <w:tblLook w:val="04A0" w:firstRow="1" w:lastRow="0" w:firstColumn="1" w:lastColumn="0" w:noHBand="0" w:noVBand="1"/>
      </w:tblPr>
      <w:tblGrid>
        <w:gridCol w:w="2365"/>
        <w:gridCol w:w="1351"/>
        <w:gridCol w:w="1665"/>
        <w:gridCol w:w="1159"/>
      </w:tblGrid>
      <w:tr w:rsidR="00C53EE6" w:rsidRPr="006123B0" w:rsidTr="00C53EE6">
        <w:trPr>
          <w:trHeight w:val="377"/>
          <w:jc w:val="center"/>
        </w:trPr>
        <w:tc>
          <w:tcPr>
            <w:tcW w:w="236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tcPr>
          <w:p w:rsidR="00C53EE6" w:rsidRPr="006123B0" w:rsidRDefault="00C53EE6" w:rsidP="00C53EE6">
            <w:pPr>
              <w:spacing w:after="0" w:line="240" w:lineRule="auto"/>
              <w:jc w:val="center"/>
              <w:rPr>
                <w:rFonts w:ascii="Arial" w:eastAsia="Times New Roman" w:hAnsi="Arial" w:cs="Arial"/>
                <w:color w:val="000000"/>
                <w:lang w:eastAsia="it-IT"/>
              </w:rPr>
            </w:pPr>
            <w:r>
              <w:rPr>
                <w:rFonts w:ascii="Arial" w:eastAsia="Times New Roman" w:hAnsi="Arial" w:cs="Arial"/>
                <w:color w:val="000000"/>
                <w:lang w:eastAsia="it-IT"/>
              </w:rPr>
              <w:t>Area Territoriale</w:t>
            </w:r>
          </w:p>
        </w:tc>
        <w:tc>
          <w:tcPr>
            <w:tcW w:w="1112" w:type="dxa"/>
            <w:tcBorders>
              <w:top w:val="single" w:sz="4" w:space="0" w:color="auto"/>
              <w:left w:val="nil"/>
              <w:bottom w:val="single" w:sz="4" w:space="0" w:color="auto"/>
              <w:right w:val="single" w:sz="4" w:space="0" w:color="auto"/>
            </w:tcBorders>
            <w:shd w:val="clear" w:color="auto" w:fill="BFBFBF" w:themeFill="background1" w:themeFillShade="BF"/>
            <w:vAlign w:val="bottom"/>
          </w:tcPr>
          <w:p w:rsidR="00C53EE6" w:rsidRPr="006123B0" w:rsidRDefault="00C53EE6" w:rsidP="00C53EE6">
            <w:pPr>
              <w:spacing w:after="0" w:line="240" w:lineRule="auto"/>
              <w:jc w:val="center"/>
              <w:rPr>
                <w:rFonts w:ascii="Arial" w:eastAsia="Times New Roman" w:hAnsi="Arial" w:cs="Arial"/>
                <w:color w:val="000000"/>
                <w:lang w:eastAsia="it-IT"/>
              </w:rPr>
            </w:pPr>
            <w:r>
              <w:rPr>
                <w:rFonts w:ascii="Arial" w:eastAsia="Times New Roman" w:hAnsi="Arial" w:cs="Arial"/>
                <w:color w:val="000000"/>
                <w:lang w:eastAsia="it-IT"/>
              </w:rPr>
              <w:t>Popolazione 0-14</w:t>
            </w:r>
          </w:p>
        </w:tc>
        <w:tc>
          <w:tcPr>
            <w:tcW w:w="1665" w:type="dxa"/>
            <w:tcBorders>
              <w:top w:val="single" w:sz="4" w:space="0" w:color="auto"/>
              <w:left w:val="nil"/>
              <w:bottom w:val="single" w:sz="4" w:space="0" w:color="auto"/>
              <w:right w:val="single" w:sz="4" w:space="0" w:color="auto"/>
            </w:tcBorders>
            <w:shd w:val="clear" w:color="auto" w:fill="BFBFBF" w:themeFill="background1" w:themeFillShade="BF"/>
            <w:vAlign w:val="bottom"/>
          </w:tcPr>
          <w:p w:rsidR="00C53EE6" w:rsidRPr="006123B0" w:rsidRDefault="00C53EE6" w:rsidP="00C53EE6">
            <w:pPr>
              <w:spacing w:after="0" w:line="240" w:lineRule="auto"/>
              <w:jc w:val="center"/>
              <w:rPr>
                <w:rFonts w:ascii="Arial" w:eastAsia="Times New Roman" w:hAnsi="Arial" w:cs="Arial"/>
                <w:color w:val="000000"/>
                <w:lang w:eastAsia="it-IT"/>
              </w:rPr>
            </w:pPr>
            <w:r>
              <w:rPr>
                <w:rFonts w:ascii="Arial" w:eastAsia="Times New Roman" w:hAnsi="Arial" w:cs="Arial"/>
                <w:color w:val="000000"/>
                <w:lang w:eastAsia="it-IT"/>
              </w:rPr>
              <w:t>Popolazione 65+</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rsidR="00C53EE6" w:rsidRPr="006123B0" w:rsidRDefault="00C53EE6" w:rsidP="00C53EE6">
            <w:pPr>
              <w:spacing w:after="0" w:line="240" w:lineRule="auto"/>
              <w:jc w:val="center"/>
              <w:rPr>
                <w:rFonts w:ascii="Arial" w:eastAsia="Times New Roman" w:hAnsi="Arial" w:cs="Arial"/>
                <w:color w:val="000000"/>
                <w:lang w:eastAsia="it-IT"/>
              </w:rPr>
            </w:pPr>
            <w:r>
              <w:rPr>
                <w:rFonts w:ascii="Arial" w:eastAsia="Times New Roman" w:hAnsi="Arial" w:cs="Arial"/>
                <w:color w:val="000000"/>
                <w:lang w:eastAsia="it-IT"/>
              </w:rPr>
              <w:t>IV</w:t>
            </w:r>
          </w:p>
        </w:tc>
      </w:tr>
      <w:tr w:rsidR="00427767" w:rsidRPr="006123B0" w:rsidTr="00427767">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CREMA</w:t>
            </w:r>
          </w:p>
        </w:tc>
        <w:tc>
          <w:tcPr>
            <w:tcW w:w="1112"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22557</w:t>
            </w:r>
          </w:p>
        </w:tc>
        <w:tc>
          <w:tcPr>
            <w:tcW w:w="1665"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35300</w:t>
            </w:r>
          </w:p>
        </w:tc>
        <w:tc>
          <w:tcPr>
            <w:tcW w:w="1159"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156</w:t>
            </w:r>
          </w:p>
        </w:tc>
      </w:tr>
      <w:tr w:rsidR="00427767" w:rsidRPr="006123B0" w:rsidTr="00427767">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CREMONA</w:t>
            </w:r>
          </w:p>
        </w:tc>
        <w:tc>
          <w:tcPr>
            <w:tcW w:w="1112"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25531</w:t>
            </w:r>
          </w:p>
        </w:tc>
        <w:tc>
          <w:tcPr>
            <w:tcW w:w="1665"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49917</w:t>
            </w:r>
          </w:p>
        </w:tc>
        <w:tc>
          <w:tcPr>
            <w:tcW w:w="1159"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196</w:t>
            </w:r>
          </w:p>
        </w:tc>
      </w:tr>
      <w:tr w:rsidR="00427767" w:rsidRPr="006123B0" w:rsidTr="00427767">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MANTOVA</w:t>
            </w:r>
          </w:p>
        </w:tc>
        <w:tc>
          <w:tcPr>
            <w:tcW w:w="1112"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56894</w:t>
            </w:r>
          </w:p>
        </w:tc>
        <w:tc>
          <w:tcPr>
            <w:tcW w:w="1665"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95539</w:t>
            </w:r>
          </w:p>
        </w:tc>
        <w:tc>
          <w:tcPr>
            <w:tcW w:w="1159"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168</w:t>
            </w:r>
          </w:p>
        </w:tc>
      </w:tr>
      <w:tr w:rsidR="00427767" w:rsidRPr="006123B0" w:rsidTr="00427767">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Totale ATS</w:t>
            </w:r>
          </w:p>
        </w:tc>
        <w:tc>
          <w:tcPr>
            <w:tcW w:w="1112"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104982</w:t>
            </w:r>
          </w:p>
        </w:tc>
        <w:tc>
          <w:tcPr>
            <w:tcW w:w="1665" w:type="dxa"/>
            <w:tcBorders>
              <w:top w:val="nil"/>
              <w:left w:val="nil"/>
              <w:bottom w:val="single" w:sz="4" w:space="0" w:color="auto"/>
              <w:right w:val="single" w:sz="4" w:space="0" w:color="auto"/>
            </w:tcBorders>
            <w:shd w:val="clear" w:color="auto" w:fill="auto"/>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180756</w:t>
            </w:r>
          </w:p>
        </w:tc>
        <w:tc>
          <w:tcPr>
            <w:tcW w:w="1159"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172</w:t>
            </w:r>
          </w:p>
        </w:tc>
      </w:tr>
      <w:tr w:rsidR="00427767" w:rsidRPr="006123B0" w:rsidTr="00427767">
        <w:trPr>
          <w:trHeight w:val="377"/>
          <w:jc w:val="center"/>
        </w:trPr>
        <w:tc>
          <w:tcPr>
            <w:tcW w:w="2365" w:type="dxa"/>
            <w:tcBorders>
              <w:top w:val="nil"/>
              <w:left w:val="single" w:sz="4" w:space="0" w:color="auto"/>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Lombardia</w:t>
            </w:r>
          </w:p>
        </w:tc>
        <w:tc>
          <w:tcPr>
            <w:tcW w:w="1112"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1408085</w:t>
            </w:r>
          </w:p>
        </w:tc>
        <w:tc>
          <w:tcPr>
            <w:tcW w:w="1665"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2193018</w:t>
            </w:r>
          </w:p>
        </w:tc>
        <w:tc>
          <w:tcPr>
            <w:tcW w:w="1159" w:type="dxa"/>
            <w:tcBorders>
              <w:top w:val="nil"/>
              <w:left w:val="nil"/>
              <w:bottom w:val="single" w:sz="4" w:space="0" w:color="auto"/>
              <w:right w:val="single" w:sz="4" w:space="0" w:color="auto"/>
            </w:tcBorders>
            <w:shd w:val="clear" w:color="auto" w:fill="auto"/>
            <w:noWrap/>
            <w:vAlign w:val="bottom"/>
            <w:hideMark/>
          </w:tcPr>
          <w:p w:rsidR="00427767" w:rsidRPr="006123B0" w:rsidRDefault="00427767" w:rsidP="00427767">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156</w:t>
            </w:r>
          </w:p>
        </w:tc>
      </w:tr>
    </w:tbl>
    <w:p w:rsidR="00DB3311" w:rsidRPr="006123B0" w:rsidRDefault="00DB3311" w:rsidP="002A23C5">
      <w:pPr>
        <w:spacing w:after="120"/>
        <w:rPr>
          <w:rFonts w:ascii="Arial" w:hAnsi="Arial" w:cs="Arial"/>
        </w:rPr>
      </w:pPr>
    </w:p>
    <w:p w:rsidR="00231B39" w:rsidRPr="006123B0" w:rsidRDefault="005A2F77" w:rsidP="002A23C5">
      <w:pPr>
        <w:spacing w:after="120"/>
        <w:rPr>
          <w:rFonts w:ascii="Arial" w:hAnsi="Arial" w:cs="Arial"/>
        </w:rPr>
      </w:pPr>
      <w:r w:rsidRPr="006123B0">
        <w:rPr>
          <w:rFonts w:ascii="Arial" w:hAnsi="Arial" w:cs="Arial"/>
        </w:rPr>
        <w:lastRenderedPageBreak/>
        <w:t xml:space="preserve">I tassi provinciali di </w:t>
      </w:r>
      <w:r w:rsidR="00231B39" w:rsidRPr="006123B0">
        <w:rPr>
          <w:rFonts w:ascii="Arial" w:hAnsi="Arial" w:cs="Arial"/>
        </w:rPr>
        <w:t>fecondità e natalità risulta</w:t>
      </w:r>
      <w:r w:rsidRPr="006123B0">
        <w:rPr>
          <w:rFonts w:ascii="Arial" w:hAnsi="Arial" w:cs="Arial"/>
        </w:rPr>
        <w:t>no</w:t>
      </w:r>
      <w:r w:rsidR="00231B39" w:rsidRPr="006123B0">
        <w:rPr>
          <w:rFonts w:ascii="Arial" w:hAnsi="Arial" w:cs="Arial"/>
        </w:rPr>
        <w:t xml:space="preserve"> simil</w:t>
      </w:r>
      <w:r w:rsidRPr="006123B0">
        <w:rPr>
          <w:rFonts w:ascii="Arial" w:hAnsi="Arial" w:cs="Arial"/>
        </w:rPr>
        <w:t>i</w:t>
      </w:r>
      <w:r w:rsidR="00B3614D" w:rsidRPr="006123B0">
        <w:rPr>
          <w:rFonts w:ascii="Arial" w:hAnsi="Arial" w:cs="Arial"/>
        </w:rPr>
        <w:t xml:space="preserve"> sia come andamento che come tr</w:t>
      </w:r>
      <w:r w:rsidR="00231B39" w:rsidRPr="006123B0">
        <w:rPr>
          <w:rFonts w:ascii="Arial" w:hAnsi="Arial" w:cs="Arial"/>
        </w:rPr>
        <w:t xml:space="preserve">end, </w:t>
      </w:r>
      <w:r w:rsidRPr="006123B0">
        <w:rPr>
          <w:rFonts w:ascii="Arial" w:hAnsi="Arial" w:cs="Arial"/>
        </w:rPr>
        <w:t xml:space="preserve">evidenziando </w:t>
      </w:r>
      <w:r w:rsidR="00231B39" w:rsidRPr="006123B0">
        <w:rPr>
          <w:rFonts w:ascii="Arial" w:hAnsi="Arial" w:cs="Arial"/>
        </w:rPr>
        <w:t xml:space="preserve">un calo significativo dal 2010 in </w:t>
      </w:r>
      <w:r w:rsidRPr="006123B0">
        <w:rPr>
          <w:rFonts w:ascii="Arial" w:hAnsi="Arial" w:cs="Arial"/>
        </w:rPr>
        <w:t>avanti.</w:t>
      </w:r>
    </w:p>
    <w:p w:rsidR="00231B39" w:rsidRPr="006123B0" w:rsidRDefault="00231B39" w:rsidP="00231B39">
      <w:pPr>
        <w:spacing w:after="120"/>
        <w:rPr>
          <w:rFonts w:ascii="Arial" w:hAnsi="Arial" w:cs="Arial"/>
        </w:rPr>
      </w:pPr>
      <w:r w:rsidRPr="006123B0">
        <w:rPr>
          <w:rFonts w:ascii="Arial" w:hAnsi="Arial" w:cs="Arial"/>
          <w:noProof/>
          <w:lang w:eastAsia="it-IT"/>
        </w:rPr>
        <w:drawing>
          <wp:inline distT="0" distB="0" distL="0" distR="0" wp14:anchorId="227513D9" wp14:editId="00873AF6">
            <wp:extent cx="3069203" cy="2418644"/>
            <wp:effectExtent l="0" t="0" r="0" b="127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7122" cy="2424884"/>
                    </a:xfrm>
                    <a:prstGeom prst="rect">
                      <a:avLst/>
                    </a:prstGeom>
                    <a:noFill/>
                    <a:ln>
                      <a:noFill/>
                    </a:ln>
                  </pic:spPr>
                </pic:pic>
              </a:graphicData>
            </a:graphic>
          </wp:inline>
        </w:drawing>
      </w:r>
      <w:r w:rsidRPr="006123B0">
        <w:rPr>
          <w:rFonts w:ascii="Arial" w:hAnsi="Arial" w:cs="Arial"/>
          <w:noProof/>
          <w:lang w:eastAsia="it-IT"/>
        </w:rPr>
        <w:drawing>
          <wp:inline distT="0" distB="0" distL="0" distR="0" wp14:anchorId="5EED9BA6" wp14:editId="5C79168E">
            <wp:extent cx="2981739" cy="2407936"/>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8143" cy="2421183"/>
                    </a:xfrm>
                    <a:prstGeom prst="rect">
                      <a:avLst/>
                    </a:prstGeom>
                    <a:noFill/>
                    <a:ln>
                      <a:noFill/>
                    </a:ln>
                  </pic:spPr>
                </pic:pic>
              </a:graphicData>
            </a:graphic>
          </wp:inline>
        </w:drawing>
      </w:r>
    </w:p>
    <w:p w:rsidR="00231B39" w:rsidRPr="006123B0" w:rsidRDefault="00231B39" w:rsidP="002A23C5">
      <w:pPr>
        <w:spacing w:after="120"/>
        <w:rPr>
          <w:rFonts w:ascii="Arial" w:hAnsi="Arial" w:cs="Arial"/>
        </w:rPr>
      </w:pPr>
      <w:r w:rsidRPr="006123B0">
        <w:rPr>
          <w:rFonts w:ascii="Arial" w:hAnsi="Arial" w:cs="Arial"/>
        </w:rPr>
        <w:t>Il saldo naturale, rapporto nati/morti</w:t>
      </w:r>
      <w:r w:rsidR="00FB21CB" w:rsidRPr="006123B0">
        <w:rPr>
          <w:rFonts w:ascii="Arial" w:hAnsi="Arial" w:cs="Arial"/>
        </w:rPr>
        <w:t>,</w:t>
      </w:r>
      <w:r w:rsidRPr="006123B0">
        <w:rPr>
          <w:rFonts w:ascii="Arial" w:hAnsi="Arial" w:cs="Arial"/>
        </w:rPr>
        <w:t xml:space="preserve"> risulta sempre in passivo nei </w:t>
      </w:r>
      <w:r w:rsidR="005A2F77" w:rsidRPr="006123B0">
        <w:rPr>
          <w:rFonts w:ascii="Arial" w:hAnsi="Arial" w:cs="Arial"/>
        </w:rPr>
        <w:t xml:space="preserve">3 Distretti </w:t>
      </w:r>
      <w:r w:rsidRPr="006123B0">
        <w:rPr>
          <w:rFonts w:ascii="Arial" w:hAnsi="Arial" w:cs="Arial"/>
        </w:rPr>
        <w:t xml:space="preserve">e più marcato </w:t>
      </w:r>
      <w:r w:rsidR="005A2F77" w:rsidRPr="006123B0">
        <w:rPr>
          <w:rFonts w:ascii="Arial" w:hAnsi="Arial" w:cs="Arial"/>
        </w:rPr>
        <w:t xml:space="preserve">nel </w:t>
      </w:r>
      <w:r w:rsidRPr="006123B0">
        <w:rPr>
          <w:rFonts w:ascii="Arial" w:hAnsi="Arial" w:cs="Arial"/>
        </w:rPr>
        <w:t xml:space="preserve">confronto regionale (dato </w:t>
      </w:r>
      <w:r w:rsidR="00FB21CB" w:rsidRPr="006123B0">
        <w:rPr>
          <w:rFonts w:ascii="Arial" w:hAnsi="Arial" w:cs="Arial"/>
        </w:rPr>
        <w:t xml:space="preserve">ISTAT </w:t>
      </w:r>
      <w:r w:rsidRPr="006123B0">
        <w:rPr>
          <w:rFonts w:ascii="Arial" w:hAnsi="Arial" w:cs="Arial"/>
        </w:rPr>
        <w:t>2015)</w:t>
      </w:r>
    </w:p>
    <w:tbl>
      <w:tblPr>
        <w:tblW w:w="7964" w:type="dxa"/>
        <w:jc w:val="center"/>
        <w:tblInd w:w="55" w:type="dxa"/>
        <w:tblCellMar>
          <w:left w:w="70" w:type="dxa"/>
          <w:right w:w="70" w:type="dxa"/>
        </w:tblCellMar>
        <w:tblLook w:val="04A0" w:firstRow="1" w:lastRow="0" w:firstColumn="1" w:lastColumn="0" w:noHBand="0" w:noVBand="1"/>
      </w:tblPr>
      <w:tblGrid>
        <w:gridCol w:w="2282"/>
        <w:gridCol w:w="1238"/>
        <w:gridCol w:w="1580"/>
        <w:gridCol w:w="1432"/>
        <w:gridCol w:w="1432"/>
      </w:tblGrid>
      <w:tr w:rsidR="00E26B03" w:rsidRPr="006123B0" w:rsidTr="00FE3D36">
        <w:trPr>
          <w:trHeight w:val="325"/>
          <w:jc w:val="center"/>
        </w:trPr>
        <w:tc>
          <w:tcPr>
            <w:tcW w:w="2282"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E26B03" w:rsidRPr="006123B0" w:rsidRDefault="00BA153A" w:rsidP="00E26B03">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Area territoriale</w:t>
            </w:r>
          </w:p>
        </w:tc>
        <w:tc>
          <w:tcPr>
            <w:tcW w:w="1238" w:type="dxa"/>
            <w:tcBorders>
              <w:top w:val="single" w:sz="4" w:space="0" w:color="auto"/>
              <w:left w:val="nil"/>
              <w:bottom w:val="single" w:sz="4" w:space="0" w:color="auto"/>
              <w:right w:val="single" w:sz="4" w:space="0" w:color="auto"/>
            </w:tcBorders>
            <w:shd w:val="clear" w:color="000000" w:fill="C0C0C0"/>
            <w:noWrap/>
            <w:vAlign w:val="bottom"/>
            <w:hideMark/>
          </w:tcPr>
          <w:p w:rsidR="00E26B03" w:rsidRPr="006123B0" w:rsidRDefault="00E26B03" w:rsidP="00E26B03">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 xml:space="preserve">Nati </w:t>
            </w:r>
          </w:p>
        </w:tc>
        <w:tc>
          <w:tcPr>
            <w:tcW w:w="1580" w:type="dxa"/>
            <w:tcBorders>
              <w:top w:val="single" w:sz="4" w:space="0" w:color="auto"/>
              <w:left w:val="nil"/>
              <w:bottom w:val="single" w:sz="4" w:space="0" w:color="auto"/>
              <w:right w:val="single" w:sz="4" w:space="0" w:color="auto"/>
            </w:tcBorders>
            <w:shd w:val="clear" w:color="000000" w:fill="C0C0C0"/>
            <w:noWrap/>
            <w:vAlign w:val="bottom"/>
            <w:hideMark/>
          </w:tcPr>
          <w:p w:rsidR="00E26B03" w:rsidRPr="006123B0" w:rsidRDefault="00E26B03" w:rsidP="00E26B03">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Morti</w:t>
            </w:r>
          </w:p>
        </w:tc>
        <w:tc>
          <w:tcPr>
            <w:tcW w:w="1432" w:type="dxa"/>
            <w:tcBorders>
              <w:top w:val="single" w:sz="4" w:space="0" w:color="auto"/>
              <w:left w:val="nil"/>
              <w:bottom w:val="single" w:sz="4" w:space="0" w:color="auto"/>
              <w:right w:val="single" w:sz="4" w:space="0" w:color="auto"/>
            </w:tcBorders>
            <w:shd w:val="clear" w:color="000000" w:fill="C0C0C0"/>
            <w:noWrap/>
            <w:vAlign w:val="bottom"/>
            <w:hideMark/>
          </w:tcPr>
          <w:p w:rsidR="00E26B03" w:rsidRPr="006123B0" w:rsidRDefault="00315930" w:rsidP="00E26B03">
            <w:pPr>
              <w:spacing w:after="0" w:line="240" w:lineRule="auto"/>
              <w:jc w:val="center"/>
              <w:rPr>
                <w:rFonts w:ascii="Arial" w:eastAsia="Times New Roman" w:hAnsi="Arial" w:cs="Arial"/>
                <w:color w:val="000000"/>
                <w:lang w:eastAsia="it-IT"/>
              </w:rPr>
            </w:pPr>
            <w:r>
              <w:rPr>
                <w:rFonts w:ascii="Arial" w:eastAsia="Times New Roman" w:hAnsi="Arial" w:cs="Arial"/>
                <w:color w:val="000000"/>
                <w:lang w:eastAsia="it-IT"/>
              </w:rPr>
              <w:t>S</w:t>
            </w:r>
            <w:r w:rsidR="00E26B03" w:rsidRPr="006123B0">
              <w:rPr>
                <w:rFonts w:ascii="Arial" w:eastAsia="Times New Roman" w:hAnsi="Arial" w:cs="Arial"/>
                <w:color w:val="000000"/>
                <w:lang w:eastAsia="it-IT"/>
              </w:rPr>
              <w:t>aldo naturale</w:t>
            </w:r>
          </w:p>
        </w:tc>
        <w:tc>
          <w:tcPr>
            <w:tcW w:w="1432" w:type="dxa"/>
            <w:tcBorders>
              <w:top w:val="single" w:sz="4" w:space="0" w:color="auto"/>
              <w:left w:val="nil"/>
              <w:bottom w:val="single" w:sz="4" w:space="0" w:color="auto"/>
              <w:right w:val="single" w:sz="4" w:space="0" w:color="auto"/>
            </w:tcBorders>
            <w:shd w:val="clear" w:color="000000" w:fill="C0C0C0"/>
            <w:noWrap/>
            <w:vAlign w:val="bottom"/>
            <w:hideMark/>
          </w:tcPr>
          <w:p w:rsidR="00E26B03" w:rsidRPr="006123B0" w:rsidRDefault="00E26B03" w:rsidP="00E26B03">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w:t>
            </w:r>
          </w:p>
        </w:tc>
      </w:tr>
      <w:tr w:rsidR="00E26B03" w:rsidRPr="006123B0" w:rsidTr="00FE3D36">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CREMA</w:t>
            </w:r>
          </w:p>
        </w:tc>
        <w:tc>
          <w:tcPr>
            <w:tcW w:w="1238"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1302</w:t>
            </w:r>
          </w:p>
        </w:tc>
        <w:tc>
          <w:tcPr>
            <w:tcW w:w="1580"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1686</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-384</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-22,8</w:t>
            </w:r>
          </w:p>
        </w:tc>
      </w:tr>
      <w:tr w:rsidR="00E26B03" w:rsidRPr="006123B0" w:rsidTr="00FE3D36">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CREMONA</w:t>
            </w:r>
          </w:p>
        </w:tc>
        <w:tc>
          <w:tcPr>
            <w:tcW w:w="1238"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1489</w:t>
            </w:r>
          </w:p>
        </w:tc>
        <w:tc>
          <w:tcPr>
            <w:tcW w:w="1580"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2482</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-993</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-40,0</w:t>
            </w:r>
          </w:p>
        </w:tc>
      </w:tr>
      <w:tr w:rsidR="00E26B03" w:rsidRPr="006123B0" w:rsidTr="00FE3D36">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MANTOVA</w:t>
            </w:r>
          </w:p>
        </w:tc>
        <w:tc>
          <w:tcPr>
            <w:tcW w:w="1238"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3242</w:t>
            </w:r>
          </w:p>
        </w:tc>
        <w:tc>
          <w:tcPr>
            <w:tcW w:w="1580"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4682</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-1440</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-30,8</w:t>
            </w:r>
          </w:p>
        </w:tc>
      </w:tr>
      <w:tr w:rsidR="00E26B03" w:rsidRPr="006123B0" w:rsidTr="00FE3D36">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Totale ATS</w:t>
            </w:r>
          </w:p>
        </w:tc>
        <w:tc>
          <w:tcPr>
            <w:tcW w:w="1238" w:type="dxa"/>
            <w:tcBorders>
              <w:top w:val="nil"/>
              <w:left w:val="nil"/>
              <w:bottom w:val="single" w:sz="4" w:space="0" w:color="auto"/>
              <w:right w:val="single" w:sz="4" w:space="0" w:color="auto"/>
            </w:tcBorders>
            <w:shd w:val="clear" w:color="auto" w:fill="auto"/>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6033</w:t>
            </w:r>
          </w:p>
        </w:tc>
        <w:tc>
          <w:tcPr>
            <w:tcW w:w="1580"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8850</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-2817</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-31,8</w:t>
            </w:r>
          </w:p>
        </w:tc>
      </w:tr>
      <w:tr w:rsidR="00E26B03" w:rsidRPr="006123B0" w:rsidTr="00FE3D36">
        <w:trPr>
          <w:trHeight w:val="325"/>
          <w:jc w:val="center"/>
        </w:trPr>
        <w:tc>
          <w:tcPr>
            <w:tcW w:w="2282" w:type="dxa"/>
            <w:tcBorders>
              <w:top w:val="nil"/>
              <w:left w:val="single" w:sz="4" w:space="0" w:color="auto"/>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Lombardia</w:t>
            </w:r>
          </w:p>
        </w:tc>
        <w:tc>
          <w:tcPr>
            <w:tcW w:w="1238"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sz w:val="18"/>
                <w:szCs w:val="18"/>
                <w:lang w:eastAsia="it-IT"/>
              </w:rPr>
            </w:pPr>
            <w:r w:rsidRPr="006123B0">
              <w:rPr>
                <w:rFonts w:ascii="Arial" w:eastAsia="Times New Roman" w:hAnsi="Arial" w:cs="Arial"/>
                <w:color w:val="000000"/>
                <w:sz w:val="18"/>
                <w:szCs w:val="18"/>
                <w:lang w:eastAsia="it-IT"/>
              </w:rPr>
              <w:t>84149</w:t>
            </w:r>
          </w:p>
        </w:tc>
        <w:tc>
          <w:tcPr>
            <w:tcW w:w="1580"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sz w:val="18"/>
                <w:szCs w:val="18"/>
                <w:lang w:eastAsia="it-IT"/>
              </w:rPr>
            </w:pPr>
            <w:r w:rsidRPr="006123B0">
              <w:rPr>
                <w:rFonts w:ascii="Arial" w:eastAsia="Times New Roman" w:hAnsi="Arial" w:cs="Arial"/>
                <w:color w:val="000000"/>
                <w:sz w:val="18"/>
                <w:szCs w:val="18"/>
                <w:lang w:eastAsia="it-IT"/>
              </w:rPr>
              <w:t>99470</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-15321</w:t>
            </w:r>
          </w:p>
        </w:tc>
        <w:tc>
          <w:tcPr>
            <w:tcW w:w="1432" w:type="dxa"/>
            <w:tcBorders>
              <w:top w:val="nil"/>
              <w:left w:val="nil"/>
              <w:bottom w:val="single" w:sz="4" w:space="0" w:color="auto"/>
              <w:right w:val="single" w:sz="4" w:space="0" w:color="auto"/>
            </w:tcBorders>
            <w:shd w:val="clear" w:color="auto" w:fill="auto"/>
            <w:noWrap/>
            <w:vAlign w:val="bottom"/>
            <w:hideMark/>
          </w:tcPr>
          <w:p w:rsidR="00E26B03" w:rsidRPr="006123B0" w:rsidRDefault="00E26B03" w:rsidP="00E26B03">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-15,4</w:t>
            </w:r>
          </w:p>
        </w:tc>
      </w:tr>
    </w:tbl>
    <w:p w:rsidR="001E06FD" w:rsidRPr="006123B0" w:rsidRDefault="001E06FD" w:rsidP="002A23C5">
      <w:pPr>
        <w:spacing w:after="120"/>
        <w:rPr>
          <w:rFonts w:ascii="Arial" w:hAnsi="Arial" w:cs="Arial"/>
        </w:rPr>
      </w:pPr>
    </w:p>
    <w:p w:rsidR="005E01CF" w:rsidRPr="006123B0" w:rsidRDefault="005E01CF" w:rsidP="002A23C5">
      <w:pPr>
        <w:spacing w:after="120"/>
        <w:rPr>
          <w:rFonts w:ascii="Arial" w:hAnsi="Arial" w:cs="Arial"/>
        </w:rPr>
      </w:pPr>
      <w:r w:rsidRPr="006123B0">
        <w:rPr>
          <w:rFonts w:ascii="Arial" w:hAnsi="Arial" w:cs="Arial"/>
        </w:rPr>
        <w:t xml:space="preserve">La popolazione straniera </w:t>
      </w:r>
      <w:r w:rsidR="005A2F77" w:rsidRPr="006123B0">
        <w:rPr>
          <w:rFonts w:ascii="Arial" w:hAnsi="Arial" w:cs="Arial"/>
        </w:rPr>
        <w:t xml:space="preserve">residente </w:t>
      </w:r>
      <w:r w:rsidRPr="006123B0">
        <w:rPr>
          <w:rFonts w:ascii="Arial" w:hAnsi="Arial" w:cs="Arial"/>
        </w:rPr>
        <w:t xml:space="preserve">è presente </w:t>
      </w:r>
      <w:r w:rsidR="005A2F77" w:rsidRPr="006123B0">
        <w:rPr>
          <w:rFonts w:ascii="Arial" w:hAnsi="Arial" w:cs="Arial"/>
        </w:rPr>
        <w:t xml:space="preserve">con frequenze percentuali simili </w:t>
      </w:r>
      <w:r w:rsidRPr="006123B0">
        <w:rPr>
          <w:rFonts w:ascii="Arial" w:hAnsi="Arial" w:cs="Arial"/>
        </w:rPr>
        <w:t>ne</w:t>
      </w:r>
      <w:r w:rsidR="005A2F77" w:rsidRPr="006123B0">
        <w:rPr>
          <w:rFonts w:ascii="Arial" w:hAnsi="Arial" w:cs="Arial"/>
        </w:rPr>
        <w:t xml:space="preserve">i 3 Distretti, anche se Crema </w:t>
      </w:r>
      <w:r w:rsidR="00D53268" w:rsidRPr="006123B0">
        <w:rPr>
          <w:rFonts w:ascii="Arial" w:hAnsi="Arial" w:cs="Arial"/>
        </w:rPr>
        <w:t xml:space="preserve">appare più </w:t>
      </w:r>
      <w:r w:rsidR="00B3614D" w:rsidRPr="006123B0">
        <w:rPr>
          <w:rFonts w:ascii="Arial" w:hAnsi="Arial" w:cs="Arial"/>
        </w:rPr>
        <w:t xml:space="preserve">allineata </w:t>
      </w:r>
      <w:r w:rsidR="00D53268" w:rsidRPr="006123B0">
        <w:rPr>
          <w:rFonts w:ascii="Arial" w:hAnsi="Arial" w:cs="Arial"/>
        </w:rPr>
        <w:t xml:space="preserve">in difetto </w:t>
      </w:r>
      <w:r w:rsidR="006E0B58" w:rsidRPr="006123B0">
        <w:rPr>
          <w:rFonts w:ascii="Arial" w:hAnsi="Arial" w:cs="Arial"/>
        </w:rPr>
        <w:t xml:space="preserve">con </w:t>
      </w:r>
      <w:r w:rsidR="00D53268" w:rsidRPr="006123B0">
        <w:rPr>
          <w:rFonts w:ascii="Arial" w:hAnsi="Arial" w:cs="Arial"/>
        </w:rPr>
        <w:t>regione Lombardia.</w:t>
      </w:r>
    </w:p>
    <w:p w:rsidR="001E06FD" w:rsidRPr="006123B0" w:rsidRDefault="001E06FD" w:rsidP="002A23C5">
      <w:pPr>
        <w:spacing w:after="120"/>
        <w:rPr>
          <w:rFonts w:ascii="Arial" w:hAnsi="Arial" w:cs="Arial"/>
        </w:rPr>
      </w:pPr>
    </w:p>
    <w:tbl>
      <w:tblPr>
        <w:tblW w:w="6460" w:type="dxa"/>
        <w:jc w:val="center"/>
        <w:tblInd w:w="55" w:type="dxa"/>
        <w:tblCellMar>
          <w:left w:w="70" w:type="dxa"/>
          <w:right w:w="70" w:type="dxa"/>
        </w:tblCellMar>
        <w:tblLook w:val="04A0" w:firstRow="1" w:lastRow="0" w:firstColumn="1" w:lastColumn="0" w:noHBand="0" w:noVBand="1"/>
      </w:tblPr>
      <w:tblGrid>
        <w:gridCol w:w="2600"/>
        <w:gridCol w:w="1306"/>
        <w:gridCol w:w="1340"/>
        <w:gridCol w:w="1214"/>
      </w:tblGrid>
      <w:tr w:rsidR="002A23C5" w:rsidRPr="006123B0" w:rsidTr="00FE3D36">
        <w:trPr>
          <w:trHeight w:val="321"/>
          <w:jc w:val="center"/>
        </w:trPr>
        <w:tc>
          <w:tcPr>
            <w:tcW w:w="260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2A23C5" w:rsidRPr="006123B0" w:rsidRDefault="00BA153A" w:rsidP="00315930">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Area territoriale</w:t>
            </w:r>
          </w:p>
        </w:tc>
        <w:tc>
          <w:tcPr>
            <w:tcW w:w="1306" w:type="dxa"/>
            <w:tcBorders>
              <w:top w:val="single" w:sz="4" w:space="0" w:color="auto"/>
              <w:left w:val="nil"/>
              <w:bottom w:val="single" w:sz="4" w:space="0" w:color="auto"/>
              <w:right w:val="single" w:sz="4" w:space="0" w:color="auto"/>
            </w:tcBorders>
            <w:shd w:val="clear" w:color="000000" w:fill="C0C0C0"/>
            <w:noWrap/>
            <w:vAlign w:val="bottom"/>
            <w:hideMark/>
          </w:tcPr>
          <w:p w:rsidR="002A23C5" w:rsidRPr="006123B0" w:rsidRDefault="002A23C5" w:rsidP="00315930">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Italiani</w:t>
            </w:r>
          </w:p>
        </w:tc>
        <w:tc>
          <w:tcPr>
            <w:tcW w:w="1340" w:type="dxa"/>
            <w:tcBorders>
              <w:top w:val="single" w:sz="4" w:space="0" w:color="auto"/>
              <w:left w:val="nil"/>
              <w:bottom w:val="single" w:sz="4" w:space="0" w:color="auto"/>
              <w:right w:val="single" w:sz="4" w:space="0" w:color="auto"/>
            </w:tcBorders>
            <w:shd w:val="clear" w:color="000000" w:fill="BFBFBF"/>
            <w:noWrap/>
            <w:vAlign w:val="bottom"/>
            <w:hideMark/>
          </w:tcPr>
          <w:p w:rsidR="002A23C5" w:rsidRPr="006123B0" w:rsidRDefault="002A23C5" w:rsidP="00315930">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Stranieri</w:t>
            </w:r>
          </w:p>
        </w:tc>
        <w:tc>
          <w:tcPr>
            <w:tcW w:w="1214" w:type="dxa"/>
            <w:tcBorders>
              <w:top w:val="single" w:sz="4" w:space="0" w:color="auto"/>
              <w:left w:val="nil"/>
              <w:bottom w:val="single" w:sz="4" w:space="0" w:color="auto"/>
              <w:right w:val="single" w:sz="4" w:space="0" w:color="auto"/>
            </w:tcBorders>
            <w:shd w:val="clear" w:color="000000" w:fill="C0C0C0"/>
            <w:noWrap/>
            <w:vAlign w:val="bottom"/>
            <w:hideMark/>
          </w:tcPr>
          <w:p w:rsidR="002A23C5" w:rsidRPr="006123B0" w:rsidRDefault="002A23C5" w:rsidP="00315930">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w:t>
            </w:r>
          </w:p>
        </w:tc>
      </w:tr>
      <w:tr w:rsidR="002A23C5" w:rsidRPr="006123B0" w:rsidTr="00FE3D36">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2A23C5" w:rsidRPr="006123B0" w:rsidRDefault="00FE3D36" w:rsidP="00FE3D36">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w:t>
            </w:r>
            <w:r w:rsidR="002A23C5" w:rsidRPr="006123B0">
              <w:rPr>
                <w:rFonts w:ascii="Arial" w:eastAsia="Times New Roman" w:hAnsi="Arial" w:cs="Arial"/>
                <w:color w:val="000000"/>
                <w:lang w:eastAsia="it-IT"/>
              </w:rPr>
              <w:t>REMA</w:t>
            </w:r>
          </w:p>
        </w:tc>
        <w:tc>
          <w:tcPr>
            <w:tcW w:w="1306"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146806</w:t>
            </w:r>
          </w:p>
        </w:tc>
        <w:tc>
          <w:tcPr>
            <w:tcW w:w="1340"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17325</w:t>
            </w:r>
          </w:p>
        </w:tc>
        <w:tc>
          <w:tcPr>
            <w:tcW w:w="1214"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11,8</w:t>
            </w:r>
          </w:p>
        </w:tc>
      </w:tr>
      <w:tr w:rsidR="002A23C5" w:rsidRPr="006123B0" w:rsidTr="00FE3D36">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CREMONA</w:t>
            </w:r>
          </w:p>
        </w:tc>
        <w:tc>
          <w:tcPr>
            <w:tcW w:w="1306"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171140</w:t>
            </w:r>
          </w:p>
        </w:tc>
        <w:tc>
          <w:tcPr>
            <w:tcW w:w="1340"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28846</w:t>
            </w:r>
          </w:p>
        </w:tc>
        <w:tc>
          <w:tcPr>
            <w:tcW w:w="1214"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16,9</w:t>
            </w:r>
          </w:p>
        </w:tc>
      </w:tr>
      <w:tr w:rsidR="002A23C5" w:rsidRPr="006123B0" w:rsidTr="00FE3D36">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MANTOVA</w:t>
            </w:r>
          </w:p>
        </w:tc>
        <w:tc>
          <w:tcPr>
            <w:tcW w:w="1306"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358373</w:t>
            </w:r>
          </w:p>
        </w:tc>
        <w:tc>
          <w:tcPr>
            <w:tcW w:w="1340" w:type="dxa"/>
            <w:tcBorders>
              <w:top w:val="nil"/>
              <w:left w:val="nil"/>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55628</w:t>
            </w:r>
          </w:p>
        </w:tc>
        <w:tc>
          <w:tcPr>
            <w:tcW w:w="1214"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15,5</w:t>
            </w:r>
          </w:p>
        </w:tc>
      </w:tr>
      <w:tr w:rsidR="002A23C5" w:rsidRPr="006123B0" w:rsidTr="00FE3D36">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2A23C5" w:rsidRPr="006123B0" w:rsidRDefault="002A23C5" w:rsidP="002A23C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Totale ATS</w:t>
            </w:r>
          </w:p>
        </w:tc>
        <w:tc>
          <w:tcPr>
            <w:tcW w:w="1306"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676319</w:t>
            </w:r>
          </w:p>
        </w:tc>
        <w:tc>
          <w:tcPr>
            <w:tcW w:w="1340"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101799</w:t>
            </w:r>
          </w:p>
        </w:tc>
        <w:tc>
          <w:tcPr>
            <w:tcW w:w="1214"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15,1</w:t>
            </w:r>
          </w:p>
        </w:tc>
      </w:tr>
      <w:tr w:rsidR="002A23C5" w:rsidRPr="006123B0" w:rsidTr="00FE3D36">
        <w:trPr>
          <w:trHeight w:val="321"/>
          <w:jc w:val="center"/>
        </w:trPr>
        <w:tc>
          <w:tcPr>
            <w:tcW w:w="2600" w:type="dxa"/>
            <w:tcBorders>
              <w:top w:val="nil"/>
              <w:left w:val="single" w:sz="4" w:space="0" w:color="auto"/>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Lombardia</w:t>
            </w:r>
          </w:p>
        </w:tc>
        <w:tc>
          <w:tcPr>
            <w:tcW w:w="1306"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10008349</w:t>
            </w:r>
          </w:p>
        </w:tc>
        <w:tc>
          <w:tcPr>
            <w:tcW w:w="1340"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1149011</w:t>
            </w:r>
          </w:p>
        </w:tc>
        <w:tc>
          <w:tcPr>
            <w:tcW w:w="1214" w:type="dxa"/>
            <w:tcBorders>
              <w:top w:val="nil"/>
              <w:left w:val="nil"/>
              <w:bottom w:val="single" w:sz="4" w:space="0" w:color="auto"/>
              <w:right w:val="single" w:sz="4" w:space="0" w:color="auto"/>
            </w:tcBorders>
            <w:shd w:val="clear" w:color="auto" w:fill="auto"/>
            <w:noWrap/>
            <w:vAlign w:val="bottom"/>
            <w:hideMark/>
          </w:tcPr>
          <w:p w:rsidR="002A23C5" w:rsidRPr="006123B0" w:rsidRDefault="002A23C5" w:rsidP="002A23C5">
            <w:pPr>
              <w:spacing w:after="0" w:line="240" w:lineRule="auto"/>
              <w:jc w:val="right"/>
              <w:rPr>
                <w:rFonts w:ascii="Arial" w:eastAsia="Times New Roman" w:hAnsi="Arial" w:cs="Arial"/>
                <w:color w:val="000000"/>
                <w:lang w:eastAsia="it-IT"/>
              </w:rPr>
            </w:pPr>
            <w:r w:rsidRPr="006123B0">
              <w:rPr>
                <w:rFonts w:ascii="Arial" w:eastAsia="Times New Roman" w:hAnsi="Arial" w:cs="Arial"/>
                <w:color w:val="000000"/>
                <w:lang w:eastAsia="it-IT"/>
              </w:rPr>
              <w:t>11,5</w:t>
            </w:r>
          </w:p>
        </w:tc>
      </w:tr>
    </w:tbl>
    <w:p w:rsidR="006E0B58" w:rsidRPr="006123B0" w:rsidRDefault="006E0B58">
      <w:pPr>
        <w:rPr>
          <w:rFonts w:ascii="Arial" w:hAnsi="Arial" w:cs="Arial"/>
        </w:rPr>
      </w:pPr>
    </w:p>
    <w:p w:rsidR="009D5CE2" w:rsidRPr="006123B0" w:rsidRDefault="006E0B58">
      <w:pPr>
        <w:rPr>
          <w:rFonts w:ascii="Arial" w:hAnsi="Arial" w:cs="Arial"/>
        </w:rPr>
      </w:pPr>
      <w:r w:rsidRPr="006123B0">
        <w:rPr>
          <w:rFonts w:ascii="Arial" w:hAnsi="Arial" w:cs="Arial"/>
        </w:rPr>
        <w:t>Come atteso, d</w:t>
      </w:r>
      <w:r w:rsidR="009D5CE2" w:rsidRPr="006123B0">
        <w:rPr>
          <w:rFonts w:ascii="Arial" w:hAnsi="Arial" w:cs="Arial"/>
        </w:rPr>
        <w:t xml:space="preserve">ecisamente diversa </w:t>
      </w:r>
      <w:r w:rsidR="00D53268" w:rsidRPr="006123B0">
        <w:rPr>
          <w:rFonts w:ascii="Arial" w:hAnsi="Arial" w:cs="Arial"/>
        </w:rPr>
        <w:t xml:space="preserve">è la struttura per età della popolazione straniera in cui </w:t>
      </w:r>
      <w:r w:rsidR="009D5CE2" w:rsidRPr="006123B0">
        <w:rPr>
          <w:rFonts w:ascii="Arial" w:hAnsi="Arial" w:cs="Arial"/>
        </w:rPr>
        <w:t xml:space="preserve"> prevalgono</w:t>
      </w:r>
      <w:r w:rsidR="001E06FD" w:rsidRPr="006123B0">
        <w:rPr>
          <w:rFonts w:ascii="Arial" w:hAnsi="Arial" w:cs="Arial"/>
        </w:rPr>
        <w:t xml:space="preserve"> le fasce di età giovani-adulte</w:t>
      </w:r>
      <w:r w:rsidR="00D53268" w:rsidRPr="006123B0">
        <w:rPr>
          <w:rFonts w:ascii="Arial" w:hAnsi="Arial" w:cs="Arial"/>
        </w:rPr>
        <w:t>.</w:t>
      </w:r>
    </w:p>
    <w:p w:rsidR="006E0B58" w:rsidRPr="006123B0" w:rsidRDefault="006E0B58">
      <w:pPr>
        <w:rPr>
          <w:rFonts w:ascii="Arial" w:hAnsi="Arial" w:cs="Arial"/>
        </w:rPr>
        <w:sectPr w:rsidR="006E0B58" w:rsidRPr="006123B0" w:rsidSect="00EE4BAB">
          <w:type w:val="continuous"/>
          <w:pgSz w:w="11906" w:h="16838"/>
          <w:pgMar w:top="1417" w:right="1134" w:bottom="1134" w:left="1134" w:header="708" w:footer="708" w:gutter="0"/>
          <w:cols w:space="708"/>
          <w:docGrid w:linePitch="360"/>
        </w:sectPr>
      </w:pPr>
    </w:p>
    <w:p w:rsidR="009D5CE2" w:rsidRPr="006123B0" w:rsidRDefault="009D5CE2">
      <w:pPr>
        <w:rPr>
          <w:rFonts w:ascii="Arial" w:hAnsi="Arial" w:cs="Arial"/>
        </w:rPr>
      </w:pPr>
      <w:r w:rsidRPr="006123B0">
        <w:rPr>
          <w:rFonts w:ascii="Arial" w:hAnsi="Arial" w:cs="Arial"/>
          <w:noProof/>
          <w:lang w:eastAsia="it-IT"/>
        </w:rPr>
        <w:lastRenderedPageBreak/>
        <w:drawing>
          <wp:inline distT="0" distB="0" distL="0" distR="0" wp14:anchorId="2C63366E" wp14:editId="752BE290">
            <wp:extent cx="2984740" cy="1871932"/>
            <wp:effectExtent l="0" t="0" r="25400" b="14605"/>
            <wp:docPr id="59" name="Gra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E06FD" w:rsidRPr="006123B0" w:rsidRDefault="009D5CE2">
      <w:pPr>
        <w:rPr>
          <w:rFonts w:ascii="Arial" w:hAnsi="Arial" w:cs="Arial"/>
        </w:rPr>
        <w:sectPr w:rsidR="001E06FD" w:rsidRPr="006123B0" w:rsidSect="001E06FD">
          <w:type w:val="continuous"/>
          <w:pgSz w:w="11906" w:h="16838"/>
          <w:pgMar w:top="1417" w:right="1134" w:bottom="1134" w:left="1134" w:header="708" w:footer="708" w:gutter="0"/>
          <w:cols w:num="2" w:space="708"/>
          <w:docGrid w:linePitch="360"/>
        </w:sectPr>
      </w:pPr>
      <w:r w:rsidRPr="006123B0">
        <w:rPr>
          <w:rFonts w:ascii="Arial" w:hAnsi="Arial" w:cs="Arial"/>
          <w:noProof/>
          <w:lang w:eastAsia="it-IT"/>
        </w:rPr>
        <w:lastRenderedPageBreak/>
        <w:drawing>
          <wp:inline distT="0" distB="0" distL="0" distR="0" wp14:anchorId="2F9FAEE4" wp14:editId="1C052EFB">
            <wp:extent cx="2976113" cy="1871932"/>
            <wp:effectExtent l="0" t="0" r="15240" b="14605"/>
            <wp:docPr id="60" name="Gra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53268" w:rsidRPr="006123B0" w:rsidRDefault="00D53268">
      <w:pPr>
        <w:rPr>
          <w:rFonts w:ascii="Arial" w:hAnsi="Arial" w:cs="Arial"/>
        </w:rPr>
      </w:pPr>
      <w:r w:rsidRPr="006123B0">
        <w:rPr>
          <w:rFonts w:ascii="Arial" w:hAnsi="Arial" w:cs="Arial"/>
        </w:rPr>
        <w:lastRenderedPageBreak/>
        <w:t>L’unico indicatore di status sociale analizzabile è l’esenzione per reddito, sostanzialmente in linea nei 3 Distretti, anche nel confronto con la sola popolazione attiva.</w:t>
      </w:r>
    </w:p>
    <w:tbl>
      <w:tblPr>
        <w:tblW w:w="7393" w:type="dxa"/>
        <w:jc w:val="center"/>
        <w:tblInd w:w="55" w:type="dxa"/>
        <w:tblCellMar>
          <w:left w:w="70" w:type="dxa"/>
          <w:right w:w="70" w:type="dxa"/>
        </w:tblCellMar>
        <w:tblLook w:val="04A0" w:firstRow="1" w:lastRow="0" w:firstColumn="1" w:lastColumn="0" w:noHBand="0" w:noVBand="1"/>
      </w:tblPr>
      <w:tblGrid>
        <w:gridCol w:w="2271"/>
        <w:gridCol w:w="2506"/>
        <w:gridCol w:w="2616"/>
      </w:tblGrid>
      <w:tr w:rsidR="00231B39" w:rsidRPr="006123B0" w:rsidTr="00B161AA">
        <w:trPr>
          <w:trHeight w:val="334"/>
          <w:jc w:val="center"/>
        </w:trPr>
        <w:tc>
          <w:tcPr>
            <w:tcW w:w="2271"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231B39" w:rsidRPr="006123B0" w:rsidRDefault="00BA153A"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Area territoriale</w:t>
            </w:r>
          </w:p>
        </w:tc>
        <w:tc>
          <w:tcPr>
            <w:tcW w:w="2506" w:type="dxa"/>
            <w:tcBorders>
              <w:top w:val="single" w:sz="4" w:space="0" w:color="auto"/>
              <w:left w:val="nil"/>
              <w:bottom w:val="single" w:sz="4" w:space="0" w:color="auto"/>
              <w:right w:val="single" w:sz="4" w:space="0" w:color="auto"/>
            </w:tcBorders>
            <w:shd w:val="clear" w:color="000000" w:fill="C0C0C0"/>
            <w:noWrap/>
            <w:vAlign w:val="bottom"/>
            <w:hideMark/>
          </w:tcPr>
          <w:p w:rsidR="00231B39" w:rsidRPr="006123B0" w:rsidRDefault="00FE3D36"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P</w:t>
            </w:r>
            <w:r w:rsidR="00231B39" w:rsidRPr="006123B0">
              <w:rPr>
                <w:rFonts w:ascii="Arial" w:eastAsia="Times New Roman" w:hAnsi="Arial" w:cs="Arial"/>
                <w:color w:val="000000"/>
                <w:lang w:eastAsia="it-IT"/>
              </w:rPr>
              <w:t>opolazione tutta</w:t>
            </w:r>
          </w:p>
        </w:tc>
        <w:tc>
          <w:tcPr>
            <w:tcW w:w="2616" w:type="dxa"/>
            <w:tcBorders>
              <w:top w:val="single" w:sz="4" w:space="0" w:color="auto"/>
              <w:left w:val="nil"/>
              <w:bottom w:val="single" w:sz="4" w:space="0" w:color="auto"/>
              <w:right w:val="single" w:sz="4" w:space="0" w:color="auto"/>
            </w:tcBorders>
            <w:shd w:val="clear" w:color="000000" w:fill="C0C0C0"/>
            <w:noWrap/>
            <w:vAlign w:val="bottom"/>
            <w:hideMark/>
          </w:tcPr>
          <w:p w:rsidR="00231B39" w:rsidRPr="006123B0" w:rsidRDefault="00FE3D36"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P</w:t>
            </w:r>
            <w:r w:rsidR="00231B39" w:rsidRPr="006123B0">
              <w:rPr>
                <w:rFonts w:ascii="Arial" w:eastAsia="Times New Roman" w:hAnsi="Arial" w:cs="Arial"/>
                <w:color w:val="000000"/>
                <w:lang w:eastAsia="it-IT"/>
              </w:rPr>
              <w:t>opolazione 15-64</w:t>
            </w:r>
          </w:p>
        </w:tc>
      </w:tr>
      <w:tr w:rsidR="00231B39" w:rsidRPr="006123B0" w:rsidTr="00B161AA">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231B39" w:rsidRPr="006123B0" w:rsidRDefault="00231B39" w:rsidP="008E257F">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CREMA</w:t>
            </w:r>
          </w:p>
        </w:tc>
        <w:tc>
          <w:tcPr>
            <w:tcW w:w="250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43,1</w:t>
            </w:r>
          </w:p>
        </w:tc>
        <w:tc>
          <w:tcPr>
            <w:tcW w:w="261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18,3</w:t>
            </w:r>
          </w:p>
        </w:tc>
      </w:tr>
      <w:tr w:rsidR="00231B39" w:rsidRPr="006123B0" w:rsidTr="00B161AA">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231B39" w:rsidRPr="006123B0" w:rsidRDefault="00231B39" w:rsidP="008E257F">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CREMONA</w:t>
            </w:r>
          </w:p>
        </w:tc>
        <w:tc>
          <w:tcPr>
            <w:tcW w:w="250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43,4</w:t>
            </w:r>
          </w:p>
        </w:tc>
        <w:tc>
          <w:tcPr>
            <w:tcW w:w="261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17,4</w:t>
            </w:r>
          </w:p>
        </w:tc>
      </w:tr>
      <w:tr w:rsidR="00231B39" w:rsidRPr="006123B0" w:rsidTr="00B161AA">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231B39" w:rsidRPr="006123B0" w:rsidRDefault="00231B39" w:rsidP="008E257F">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MANTOVA</w:t>
            </w:r>
          </w:p>
        </w:tc>
        <w:tc>
          <w:tcPr>
            <w:tcW w:w="250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44,4</w:t>
            </w:r>
          </w:p>
        </w:tc>
        <w:tc>
          <w:tcPr>
            <w:tcW w:w="2616" w:type="dxa"/>
            <w:tcBorders>
              <w:top w:val="nil"/>
              <w:left w:val="nil"/>
              <w:bottom w:val="single" w:sz="4" w:space="0" w:color="auto"/>
              <w:right w:val="single" w:sz="4" w:space="0" w:color="auto"/>
            </w:tcBorders>
            <w:shd w:val="clear" w:color="auto" w:fill="auto"/>
            <w:noWrap/>
            <w:vAlign w:val="bottom"/>
            <w:hideMark/>
          </w:tcPr>
          <w:p w:rsidR="00231B39" w:rsidRPr="006123B0" w:rsidRDefault="00231B39" w:rsidP="008E257F">
            <w:pPr>
              <w:spacing w:after="0" w:line="240" w:lineRule="auto"/>
              <w:jc w:val="center"/>
              <w:rPr>
                <w:rFonts w:ascii="Arial" w:eastAsia="Times New Roman" w:hAnsi="Arial" w:cs="Arial"/>
                <w:color w:val="000000"/>
                <w:lang w:eastAsia="it-IT"/>
              </w:rPr>
            </w:pPr>
            <w:r w:rsidRPr="006123B0">
              <w:rPr>
                <w:rFonts w:ascii="Arial" w:eastAsia="Times New Roman" w:hAnsi="Arial" w:cs="Arial"/>
                <w:color w:val="000000"/>
                <w:lang w:eastAsia="it-IT"/>
              </w:rPr>
              <w:t>18,9</w:t>
            </w:r>
          </w:p>
        </w:tc>
      </w:tr>
    </w:tbl>
    <w:p w:rsidR="001E06FD" w:rsidRPr="006123B0" w:rsidRDefault="001E06FD" w:rsidP="00A54C79">
      <w:pPr>
        <w:rPr>
          <w:rFonts w:ascii="Arial" w:hAnsi="Arial" w:cs="Arial"/>
          <w:b/>
        </w:rPr>
      </w:pPr>
    </w:p>
    <w:p w:rsidR="001A75EE" w:rsidRPr="006123B0" w:rsidRDefault="001A75EE" w:rsidP="00A54C79">
      <w:pPr>
        <w:rPr>
          <w:rFonts w:ascii="Arial" w:hAnsi="Arial" w:cs="Arial"/>
          <w:b/>
        </w:rPr>
      </w:pPr>
    </w:p>
    <w:p w:rsidR="001E06FD" w:rsidRPr="006123B0" w:rsidRDefault="001A75EE" w:rsidP="00A54C79">
      <w:pPr>
        <w:rPr>
          <w:rFonts w:ascii="Arial" w:hAnsi="Arial" w:cs="Arial"/>
          <w:b/>
        </w:rPr>
      </w:pPr>
      <w:r w:rsidRPr="006123B0">
        <w:rPr>
          <w:rFonts w:ascii="Arial" w:hAnsi="Arial" w:cs="Arial"/>
          <w:b/>
        </w:rPr>
        <w:t>L</w:t>
      </w:r>
      <w:r w:rsidR="00B0015D" w:rsidRPr="006123B0">
        <w:rPr>
          <w:rFonts w:ascii="Arial" w:hAnsi="Arial" w:cs="Arial"/>
          <w:b/>
        </w:rPr>
        <w:t>E FONTI INFORMATIVE</w:t>
      </w:r>
    </w:p>
    <w:p w:rsidR="006339FE" w:rsidRPr="006123B0" w:rsidRDefault="00D53268" w:rsidP="006E0B58">
      <w:pPr>
        <w:pStyle w:val="Nessunaspaziatura"/>
        <w:rPr>
          <w:rFonts w:ascii="Arial" w:hAnsi="Arial" w:cs="Arial"/>
        </w:rPr>
      </w:pPr>
      <w:r w:rsidRPr="006123B0">
        <w:rPr>
          <w:rFonts w:ascii="Arial" w:hAnsi="Arial" w:cs="Arial"/>
        </w:rPr>
        <w:t xml:space="preserve">La descrizione dello </w:t>
      </w:r>
      <w:r w:rsidR="006339FE" w:rsidRPr="006123B0">
        <w:rPr>
          <w:rFonts w:ascii="Arial" w:hAnsi="Arial" w:cs="Arial"/>
        </w:rPr>
        <w:t xml:space="preserve">stato di salute della popolazione residente </w:t>
      </w:r>
      <w:r w:rsidRPr="006123B0">
        <w:rPr>
          <w:rFonts w:ascii="Arial" w:hAnsi="Arial" w:cs="Arial"/>
        </w:rPr>
        <w:t>si è avvalsa delle seguenti fonti.</w:t>
      </w:r>
    </w:p>
    <w:p w:rsidR="006E0B58" w:rsidRPr="006123B0" w:rsidRDefault="006E0B58" w:rsidP="006E0B58">
      <w:pPr>
        <w:pStyle w:val="Nessunaspaziatura"/>
        <w:rPr>
          <w:rFonts w:ascii="Arial" w:hAnsi="Arial" w:cs="Arial"/>
        </w:rPr>
      </w:pPr>
    </w:p>
    <w:p w:rsidR="006339FE" w:rsidRPr="006123B0" w:rsidRDefault="006A5DE3" w:rsidP="006E0B58">
      <w:pPr>
        <w:pStyle w:val="Nessunaspaziatura"/>
        <w:rPr>
          <w:rFonts w:ascii="Arial" w:hAnsi="Arial" w:cs="Arial"/>
        </w:rPr>
      </w:pPr>
      <w:r w:rsidRPr="006123B0">
        <w:rPr>
          <w:rFonts w:ascii="Arial" w:hAnsi="Arial" w:cs="Arial"/>
          <w:b/>
        </w:rPr>
        <w:t>A</w:t>
      </w:r>
      <w:r w:rsidR="006339FE" w:rsidRPr="006123B0">
        <w:rPr>
          <w:rFonts w:ascii="Arial" w:hAnsi="Arial" w:cs="Arial"/>
          <w:b/>
        </w:rPr>
        <w:t>nagrafe</w:t>
      </w:r>
      <w:r w:rsidRPr="006123B0">
        <w:rPr>
          <w:rFonts w:ascii="Arial" w:hAnsi="Arial" w:cs="Arial"/>
          <w:b/>
        </w:rPr>
        <w:t xml:space="preserve"> A</w:t>
      </w:r>
      <w:r w:rsidR="006339FE" w:rsidRPr="006123B0">
        <w:rPr>
          <w:rFonts w:ascii="Arial" w:hAnsi="Arial" w:cs="Arial"/>
          <w:b/>
        </w:rPr>
        <w:t>ssistiti</w:t>
      </w:r>
      <w:r w:rsidR="00D53268" w:rsidRPr="006123B0">
        <w:rPr>
          <w:rFonts w:ascii="Arial" w:hAnsi="Arial" w:cs="Arial"/>
          <w:b/>
        </w:rPr>
        <w:t xml:space="preserve">. </w:t>
      </w:r>
      <w:r w:rsidR="00D53268" w:rsidRPr="006123B0">
        <w:rPr>
          <w:rFonts w:ascii="Arial" w:hAnsi="Arial" w:cs="Arial"/>
        </w:rPr>
        <w:t>R</w:t>
      </w:r>
      <w:r w:rsidR="006339FE" w:rsidRPr="006123B0">
        <w:rPr>
          <w:rFonts w:ascii="Arial" w:hAnsi="Arial" w:cs="Arial"/>
        </w:rPr>
        <w:t>accoglie le variabili socio-anagrafiche di tutti gli assistiti residenti nei comuni dell’ATS, compreso l’indirizzo di residenza/domicilio</w:t>
      </w:r>
      <w:r w:rsidR="00D53268" w:rsidRPr="006123B0">
        <w:rPr>
          <w:rFonts w:ascii="Arial" w:hAnsi="Arial" w:cs="Arial"/>
        </w:rPr>
        <w:t xml:space="preserve"> che consente di operare utili georeferenziazioni</w:t>
      </w:r>
      <w:r w:rsidR="006339FE" w:rsidRPr="006123B0">
        <w:rPr>
          <w:rFonts w:ascii="Arial" w:hAnsi="Arial" w:cs="Arial"/>
        </w:rPr>
        <w:t>. È aggiornata in tempo reale dalle anagrafi comunali con una latenza di circa un mese e co</w:t>
      </w:r>
      <w:r w:rsidR="00D53268" w:rsidRPr="006123B0">
        <w:rPr>
          <w:rFonts w:ascii="Arial" w:hAnsi="Arial" w:cs="Arial"/>
        </w:rPr>
        <w:t xml:space="preserve">ncorre ad implementare </w:t>
      </w:r>
      <w:r w:rsidR="006339FE" w:rsidRPr="006123B0">
        <w:rPr>
          <w:rFonts w:ascii="Arial" w:hAnsi="Arial" w:cs="Arial"/>
        </w:rPr>
        <w:t>la Nuova Anagrafe Regionale (NAR).</w:t>
      </w:r>
    </w:p>
    <w:p w:rsidR="006E0B58" w:rsidRPr="006123B0" w:rsidRDefault="006E0B58" w:rsidP="006E0B58">
      <w:pPr>
        <w:pStyle w:val="Nessunaspaziatura"/>
        <w:rPr>
          <w:rFonts w:ascii="Arial" w:hAnsi="Arial" w:cs="Arial"/>
        </w:rPr>
      </w:pPr>
    </w:p>
    <w:p w:rsidR="006339FE" w:rsidRPr="006123B0" w:rsidRDefault="006339FE" w:rsidP="00355693">
      <w:pPr>
        <w:spacing w:after="0" w:line="240" w:lineRule="auto"/>
        <w:jc w:val="both"/>
        <w:rPr>
          <w:rFonts w:ascii="Arial" w:eastAsia="Calibri" w:hAnsi="Arial" w:cs="Arial"/>
        </w:rPr>
      </w:pPr>
      <w:r w:rsidRPr="006123B0">
        <w:rPr>
          <w:rFonts w:ascii="Arial" w:hAnsi="Arial" w:cs="Arial"/>
          <w:b/>
        </w:rPr>
        <w:t>Schede di Dimissione Ospedaliera (SDO)</w:t>
      </w:r>
      <w:r w:rsidR="00D53268" w:rsidRPr="006123B0">
        <w:rPr>
          <w:rFonts w:ascii="Arial" w:hAnsi="Arial" w:cs="Arial"/>
          <w:b/>
        </w:rPr>
        <w:t xml:space="preserve">. </w:t>
      </w:r>
      <w:r w:rsidR="00D53268" w:rsidRPr="006123B0">
        <w:rPr>
          <w:rFonts w:ascii="Arial" w:hAnsi="Arial" w:cs="Arial"/>
        </w:rPr>
        <w:t>Il</w:t>
      </w:r>
      <w:r w:rsidR="00D53268" w:rsidRPr="006123B0">
        <w:rPr>
          <w:rFonts w:ascii="Arial" w:hAnsi="Arial" w:cs="Arial"/>
          <w:b/>
        </w:rPr>
        <w:t xml:space="preserve"> </w:t>
      </w:r>
      <w:r w:rsidR="000F67C3" w:rsidRPr="006123B0">
        <w:rPr>
          <w:rFonts w:ascii="Arial" w:eastAsia="Calibri" w:hAnsi="Arial" w:cs="Arial"/>
        </w:rPr>
        <w:t xml:space="preserve">flusso SDO registra tutti i ricoveri occorsi nella popolazione residente avvenuti nel periodo </w:t>
      </w:r>
      <w:r w:rsidR="006E0B58" w:rsidRPr="006123B0">
        <w:rPr>
          <w:rFonts w:ascii="Arial" w:eastAsia="Calibri" w:hAnsi="Arial" w:cs="Arial"/>
        </w:rPr>
        <w:t xml:space="preserve">esaminato </w:t>
      </w:r>
      <w:r w:rsidR="000F67C3" w:rsidRPr="006123B0">
        <w:rPr>
          <w:rFonts w:ascii="Arial" w:eastAsia="Calibri" w:hAnsi="Arial" w:cs="Arial"/>
        </w:rPr>
        <w:t xml:space="preserve">in qualsiasi struttura pubblica o privata accreditata </w:t>
      </w:r>
      <w:r w:rsidR="006E0B58" w:rsidRPr="006123B0">
        <w:rPr>
          <w:rFonts w:ascii="Arial" w:eastAsia="Calibri" w:hAnsi="Arial" w:cs="Arial"/>
        </w:rPr>
        <w:t xml:space="preserve">dell’intero </w:t>
      </w:r>
      <w:r w:rsidR="000F67C3" w:rsidRPr="006123B0">
        <w:rPr>
          <w:rFonts w:ascii="Arial" w:eastAsia="Calibri" w:hAnsi="Arial" w:cs="Arial"/>
        </w:rPr>
        <w:t>territorio nazionale. La registrazione comprende</w:t>
      </w:r>
      <w:r w:rsidR="00D53268" w:rsidRPr="006123B0">
        <w:rPr>
          <w:rFonts w:ascii="Arial" w:eastAsia="Calibri" w:hAnsi="Arial" w:cs="Arial"/>
        </w:rPr>
        <w:t xml:space="preserve"> diagnosi</w:t>
      </w:r>
      <w:r w:rsidR="00355693" w:rsidRPr="006123B0">
        <w:rPr>
          <w:rFonts w:ascii="Arial" w:eastAsia="Calibri" w:hAnsi="Arial" w:cs="Arial"/>
        </w:rPr>
        <w:t xml:space="preserve">, </w:t>
      </w:r>
      <w:r w:rsidR="000F67C3" w:rsidRPr="006123B0">
        <w:rPr>
          <w:rFonts w:ascii="Arial" w:eastAsia="Calibri" w:hAnsi="Arial" w:cs="Arial"/>
        </w:rPr>
        <w:t>interventi</w:t>
      </w:r>
      <w:r w:rsidR="00355693" w:rsidRPr="006123B0">
        <w:rPr>
          <w:rFonts w:ascii="Arial" w:eastAsia="Calibri" w:hAnsi="Arial" w:cs="Arial"/>
        </w:rPr>
        <w:t xml:space="preserve">, accertamenti e terapie </w:t>
      </w:r>
      <w:r w:rsidR="000F67C3" w:rsidRPr="006123B0">
        <w:rPr>
          <w:rFonts w:ascii="Arial" w:eastAsia="Calibri" w:hAnsi="Arial" w:cs="Arial"/>
        </w:rPr>
        <w:t xml:space="preserve">eventualmente </w:t>
      </w:r>
      <w:r w:rsidR="00355693" w:rsidRPr="006123B0">
        <w:rPr>
          <w:rFonts w:ascii="Arial" w:eastAsia="Calibri" w:hAnsi="Arial" w:cs="Arial"/>
        </w:rPr>
        <w:t xml:space="preserve">effettuati </w:t>
      </w:r>
      <w:r w:rsidR="000F67C3" w:rsidRPr="006123B0">
        <w:rPr>
          <w:rFonts w:ascii="Arial" w:eastAsia="Calibri" w:hAnsi="Arial" w:cs="Arial"/>
        </w:rPr>
        <w:t>durante il ricovero.</w:t>
      </w:r>
      <w:r w:rsidR="00355693" w:rsidRPr="006123B0">
        <w:rPr>
          <w:rFonts w:ascii="Arial" w:eastAsia="Calibri" w:hAnsi="Arial" w:cs="Arial"/>
        </w:rPr>
        <w:t xml:space="preserve"> </w:t>
      </w:r>
      <w:r w:rsidR="006A5DE3" w:rsidRPr="006123B0">
        <w:rPr>
          <w:rFonts w:ascii="Arial" w:eastAsia="Calibri" w:hAnsi="Arial" w:cs="Arial"/>
        </w:rPr>
        <w:t xml:space="preserve">Tale flusso ha prodotto l’ospedalizzazione </w:t>
      </w:r>
      <w:r w:rsidR="006A5DE3" w:rsidRPr="006123B0">
        <w:rPr>
          <w:rFonts w:ascii="Arial" w:eastAsia="Calibri" w:hAnsi="Arial" w:cs="Arial"/>
          <w:b/>
        </w:rPr>
        <w:t>(H nelle tabelle)</w:t>
      </w:r>
      <w:r w:rsidR="006A5DE3" w:rsidRPr="006123B0">
        <w:rPr>
          <w:rFonts w:ascii="Arial" w:eastAsia="Calibri" w:hAnsi="Arial" w:cs="Arial"/>
        </w:rPr>
        <w:t xml:space="preserve"> della popolazione nel periodo 2010-2014 espresso come tasso x1000 standardizzato sulla popolazione italiana </w:t>
      </w:r>
      <w:r w:rsidR="006E0B58" w:rsidRPr="006123B0">
        <w:rPr>
          <w:rFonts w:ascii="Arial" w:eastAsia="Calibri" w:hAnsi="Arial" w:cs="Arial"/>
        </w:rPr>
        <w:t>al censimento 2011, per “tener</w:t>
      </w:r>
      <w:r w:rsidR="00355693" w:rsidRPr="006123B0">
        <w:rPr>
          <w:rFonts w:ascii="Arial" w:eastAsia="Calibri" w:hAnsi="Arial" w:cs="Arial"/>
        </w:rPr>
        <w:t xml:space="preserve"> conto” nel confronto della eventuale diversa distribuzione per classi di età.</w:t>
      </w:r>
    </w:p>
    <w:p w:rsidR="001A75EE" w:rsidRPr="006123B0" w:rsidRDefault="001A75EE" w:rsidP="00355693">
      <w:pPr>
        <w:spacing w:after="0" w:line="240" w:lineRule="auto"/>
        <w:jc w:val="both"/>
        <w:rPr>
          <w:rFonts w:ascii="Arial" w:eastAsia="Calibri" w:hAnsi="Arial" w:cs="Arial"/>
        </w:rPr>
      </w:pPr>
    </w:p>
    <w:p w:rsidR="00355693" w:rsidRPr="006123B0" w:rsidRDefault="007F74D0" w:rsidP="00355693">
      <w:pPr>
        <w:spacing w:after="0" w:line="240" w:lineRule="auto"/>
        <w:jc w:val="both"/>
        <w:rPr>
          <w:rFonts w:ascii="Arial" w:eastAsia="Calibri" w:hAnsi="Arial" w:cs="Arial"/>
        </w:rPr>
      </w:pPr>
      <w:r w:rsidRPr="006123B0">
        <w:rPr>
          <w:rFonts w:ascii="Arial" w:eastAsia="Calibri" w:hAnsi="Arial" w:cs="Arial"/>
          <w:b/>
        </w:rPr>
        <w:t>Banca Dati Assistito (BDA)</w:t>
      </w:r>
      <w:r w:rsidR="00355693" w:rsidRPr="006123B0">
        <w:rPr>
          <w:rFonts w:ascii="Arial" w:eastAsia="Calibri" w:hAnsi="Arial" w:cs="Arial"/>
          <w:b/>
        </w:rPr>
        <w:t>.</w:t>
      </w:r>
      <w:r w:rsidRPr="006123B0">
        <w:rPr>
          <w:rFonts w:ascii="Arial" w:eastAsia="Calibri" w:hAnsi="Arial" w:cs="Arial"/>
          <w:b/>
        </w:rPr>
        <w:t xml:space="preserve"> </w:t>
      </w:r>
      <w:r w:rsidRPr="006123B0">
        <w:rPr>
          <w:rFonts w:ascii="Arial" w:eastAsia="Calibri" w:hAnsi="Arial" w:cs="Arial"/>
        </w:rPr>
        <w:t xml:space="preserve">La Banca Dati Assistito è un prodotto </w:t>
      </w:r>
      <w:r w:rsidR="00355693" w:rsidRPr="006123B0">
        <w:rPr>
          <w:rFonts w:ascii="Arial" w:eastAsia="Calibri" w:hAnsi="Arial" w:cs="Arial"/>
        </w:rPr>
        <w:t xml:space="preserve">epidemiologico </w:t>
      </w:r>
      <w:r w:rsidRPr="006123B0">
        <w:rPr>
          <w:rFonts w:ascii="Arial" w:eastAsia="Calibri" w:hAnsi="Arial" w:cs="Arial"/>
        </w:rPr>
        <w:t xml:space="preserve">che raccoglie e riassume tutti i consumi sanitari dei residenti nell’anno di calendario. Tali consumi (ricoveri, prestazioni ambulatoriali, farmaci, riabilitazione, ricoveri in </w:t>
      </w:r>
      <w:r w:rsidR="00355693" w:rsidRPr="006123B0">
        <w:rPr>
          <w:rFonts w:ascii="Arial" w:eastAsia="Calibri" w:hAnsi="Arial" w:cs="Arial"/>
        </w:rPr>
        <w:t>strutture s</w:t>
      </w:r>
      <w:r w:rsidRPr="006123B0">
        <w:rPr>
          <w:rFonts w:ascii="Arial" w:eastAsia="Calibri" w:hAnsi="Arial" w:cs="Arial"/>
        </w:rPr>
        <w:t>ocio- sanitarie ecc</w:t>
      </w:r>
      <w:r w:rsidR="00355693" w:rsidRPr="006123B0">
        <w:rPr>
          <w:rFonts w:ascii="Arial" w:eastAsia="Calibri" w:hAnsi="Arial" w:cs="Arial"/>
        </w:rPr>
        <w:t>.</w:t>
      </w:r>
      <w:r w:rsidRPr="006123B0">
        <w:rPr>
          <w:rFonts w:ascii="Arial" w:eastAsia="Calibri" w:hAnsi="Arial" w:cs="Arial"/>
        </w:rPr>
        <w:t xml:space="preserve">) </w:t>
      </w:r>
      <w:r w:rsidR="00355693" w:rsidRPr="006123B0">
        <w:rPr>
          <w:rFonts w:ascii="Arial" w:eastAsia="Calibri" w:hAnsi="Arial" w:cs="Arial"/>
        </w:rPr>
        <w:t xml:space="preserve">sono codificati </w:t>
      </w:r>
      <w:r w:rsidRPr="006123B0">
        <w:rPr>
          <w:rFonts w:ascii="Arial" w:eastAsia="Calibri" w:hAnsi="Arial" w:cs="Arial"/>
        </w:rPr>
        <w:t>in modo dettagliato</w:t>
      </w:r>
      <w:r w:rsidR="00355693" w:rsidRPr="006123B0">
        <w:rPr>
          <w:rFonts w:ascii="Arial" w:eastAsia="Calibri" w:hAnsi="Arial" w:cs="Arial"/>
        </w:rPr>
        <w:t xml:space="preserve">, consentendo di mappare le diverse </w:t>
      </w:r>
      <w:r w:rsidRPr="006123B0">
        <w:rPr>
          <w:rFonts w:ascii="Arial" w:eastAsia="Calibri" w:hAnsi="Arial" w:cs="Arial"/>
        </w:rPr>
        <w:t>patologi</w:t>
      </w:r>
      <w:r w:rsidR="00355693" w:rsidRPr="006123B0">
        <w:rPr>
          <w:rFonts w:ascii="Arial" w:eastAsia="Calibri" w:hAnsi="Arial" w:cs="Arial"/>
        </w:rPr>
        <w:t>e e quindi categorizzare tutti gli assistiti in funzione del stato di salute</w:t>
      </w:r>
      <w:r w:rsidR="006E0B58" w:rsidRPr="006123B0">
        <w:rPr>
          <w:rFonts w:ascii="Arial" w:eastAsia="Calibri" w:hAnsi="Arial" w:cs="Arial"/>
        </w:rPr>
        <w:t xml:space="preserve"> individuale</w:t>
      </w:r>
      <w:r w:rsidR="00355693" w:rsidRPr="006123B0">
        <w:rPr>
          <w:rFonts w:ascii="Arial" w:eastAsia="Calibri" w:hAnsi="Arial" w:cs="Arial"/>
        </w:rPr>
        <w:t xml:space="preserve">. </w:t>
      </w:r>
      <w:r w:rsidRPr="006123B0">
        <w:rPr>
          <w:rFonts w:ascii="Arial" w:eastAsia="Calibri" w:hAnsi="Arial" w:cs="Arial"/>
        </w:rPr>
        <w:t xml:space="preserve"> La BDA ha fornito il dato sulla prevalenza </w:t>
      </w:r>
      <w:r w:rsidRPr="006123B0">
        <w:rPr>
          <w:rFonts w:ascii="Arial" w:eastAsia="Calibri" w:hAnsi="Arial" w:cs="Arial"/>
          <w:b/>
        </w:rPr>
        <w:t>(P nei grafici)</w:t>
      </w:r>
      <w:r w:rsidRPr="006123B0">
        <w:rPr>
          <w:rFonts w:ascii="Arial" w:eastAsia="Calibri" w:hAnsi="Arial" w:cs="Arial"/>
        </w:rPr>
        <w:t xml:space="preserve"> </w:t>
      </w:r>
      <w:r w:rsidR="00355693" w:rsidRPr="006123B0">
        <w:rPr>
          <w:rFonts w:ascii="Arial" w:eastAsia="Calibri" w:hAnsi="Arial" w:cs="Arial"/>
        </w:rPr>
        <w:t xml:space="preserve">al 2014 </w:t>
      </w:r>
      <w:r w:rsidRPr="006123B0">
        <w:rPr>
          <w:rFonts w:ascii="Arial" w:eastAsia="Calibri" w:hAnsi="Arial" w:cs="Arial"/>
        </w:rPr>
        <w:t xml:space="preserve">espresso </w:t>
      </w:r>
      <w:r w:rsidR="00355693" w:rsidRPr="006123B0">
        <w:rPr>
          <w:rFonts w:ascii="Arial" w:eastAsia="Calibri" w:hAnsi="Arial" w:cs="Arial"/>
        </w:rPr>
        <w:t>come tasso x1000 standardizzato sulla popolazi</w:t>
      </w:r>
      <w:r w:rsidR="006E0B58" w:rsidRPr="006123B0">
        <w:rPr>
          <w:rFonts w:ascii="Arial" w:eastAsia="Calibri" w:hAnsi="Arial" w:cs="Arial"/>
        </w:rPr>
        <w:t>one italiana, ancora per “tener</w:t>
      </w:r>
      <w:r w:rsidR="00355693" w:rsidRPr="006123B0">
        <w:rPr>
          <w:rFonts w:ascii="Arial" w:eastAsia="Calibri" w:hAnsi="Arial" w:cs="Arial"/>
        </w:rPr>
        <w:t xml:space="preserve"> conto” nel confronto della eventuale diversa distribuzione per classi di età.</w:t>
      </w:r>
    </w:p>
    <w:p w:rsidR="001A75EE" w:rsidRPr="006123B0" w:rsidRDefault="001A75EE" w:rsidP="00355693">
      <w:pPr>
        <w:spacing w:after="0" w:line="240" w:lineRule="auto"/>
        <w:jc w:val="both"/>
        <w:rPr>
          <w:rFonts w:ascii="Arial" w:eastAsia="Calibri" w:hAnsi="Arial" w:cs="Arial"/>
        </w:rPr>
      </w:pPr>
    </w:p>
    <w:p w:rsidR="007F74D0" w:rsidRPr="006123B0" w:rsidRDefault="006A5DE3" w:rsidP="007F74D0">
      <w:pPr>
        <w:spacing w:after="0" w:line="240" w:lineRule="auto"/>
        <w:jc w:val="both"/>
        <w:rPr>
          <w:rFonts w:ascii="Arial" w:hAnsi="Arial" w:cs="Arial"/>
        </w:rPr>
      </w:pPr>
      <w:r w:rsidRPr="006123B0">
        <w:rPr>
          <w:rFonts w:ascii="Arial" w:eastAsia="Calibri" w:hAnsi="Arial" w:cs="Arial"/>
          <w:b/>
        </w:rPr>
        <w:t>Registro Tumori</w:t>
      </w:r>
      <w:r w:rsidR="00355693" w:rsidRPr="006123B0">
        <w:rPr>
          <w:rFonts w:ascii="Arial" w:eastAsia="Calibri" w:hAnsi="Arial" w:cs="Arial"/>
          <w:b/>
        </w:rPr>
        <w:t xml:space="preserve">. </w:t>
      </w:r>
      <w:r w:rsidR="00355693" w:rsidRPr="006123B0">
        <w:rPr>
          <w:rFonts w:ascii="Arial" w:eastAsia="Calibri" w:hAnsi="Arial" w:cs="Arial"/>
        </w:rPr>
        <w:t xml:space="preserve">Il </w:t>
      </w:r>
      <w:r w:rsidR="007F74D0" w:rsidRPr="006123B0">
        <w:rPr>
          <w:rFonts w:ascii="Arial" w:hAnsi="Arial" w:cs="Arial"/>
        </w:rPr>
        <w:t xml:space="preserve">Registro Tumori ha fornito </w:t>
      </w:r>
      <w:r w:rsidR="00355693" w:rsidRPr="006123B0">
        <w:rPr>
          <w:rFonts w:ascii="Arial" w:hAnsi="Arial" w:cs="Arial"/>
        </w:rPr>
        <w:t xml:space="preserve">i tassi di incidenza, cioè il gettito </w:t>
      </w:r>
      <w:r w:rsidR="001E4FCF" w:rsidRPr="006123B0">
        <w:rPr>
          <w:rFonts w:ascii="Arial" w:hAnsi="Arial" w:cs="Arial"/>
        </w:rPr>
        <w:t xml:space="preserve">nell’unità di tempo </w:t>
      </w:r>
      <w:r w:rsidR="00355693" w:rsidRPr="006123B0">
        <w:rPr>
          <w:rFonts w:ascii="Arial" w:hAnsi="Arial" w:cs="Arial"/>
        </w:rPr>
        <w:t xml:space="preserve">dei nuovi casi di tumore, </w:t>
      </w:r>
      <w:r w:rsidR="007F74D0" w:rsidRPr="006123B0">
        <w:rPr>
          <w:rFonts w:ascii="Arial" w:hAnsi="Arial" w:cs="Arial"/>
        </w:rPr>
        <w:t xml:space="preserve">occorsi nei residenti dell’ATS. Il periodo esaminato è il 2006-2009 per l’ex ASL di Cremona, 2006-2010 per l’ex ASL di Mantova. Il valore espresso </w:t>
      </w:r>
      <w:r w:rsidR="007F74D0" w:rsidRPr="006123B0">
        <w:rPr>
          <w:rFonts w:ascii="Arial" w:hAnsi="Arial" w:cs="Arial"/>
          <w:b/>
        </w:rPr>
        <w:t xml:space="preserve">(I nei grafici) </w:t>
      </w:r>
      <w:r w:rsidR="007F74D0" w:rsidRPr="006123B0">
        <w:rPr>
          <w:rFonts w:ascii="Arial" w:hAnsi="Arial" w:cs="Arial"/>
        </w:rPr>
        <w:t xml:space="preserve">è il tasso standardizzato x </w:t>
      </w:r>
      <w:r w:rsidR="00D621AD" w:rsidRPr="006123B0">
        <w:rPr>
          <w:rFonts w:ascii="Arial" w:hAnsi="Arial" w:cs="Arial"/>
        </w:rPr>
        <w:t>100.000</w:t>
      </w:r>
    </w:p>
    <w:p w:rsidR="001A75EE" w:rsidRPr="006123B0" w:rsidRDefault="001A75EE" w:rsidP="007F74D0">
      <w:pPr>
        <w:spacing w:after="0" w:line="240" w:lineRule="auto"/>
        <w:jc w:val="both"/>
        <w:rPr>
          <w:rFonts w:ascii="Arial" w:hAnsi="Arial" w:cs="Arial"/>
          <w:b/>
        </w:rPr>
      </w:pPr>
    </w:p>
    <w:p w:rsidR="006A5DE3" w:rsidRDefault="006A5DE3" w:rsidP="007F74D0">
      <w:pPr>
        <w:spacing w:after="0" w:line="240" w:lineRule="auto"/>
        <w:jc w:val="both"/>
        <w:rPr>
          <w:rFonts w:ascii="Arial" w:eastAsia="Calibri" w:hAnsi="Arial" w:cs="Arial"/>
          <w:b/>
        </w:rPr>
      </w:pPr>
      <w:r w:rsidRPr="006123B0">
        <w:rPr>
          <w:rFonts w:ascii="Arial" w:eastAsia="Calibri" w:hAnsi="Arial" w:cs="Arial"/>
          <w:b/>
        </w:rPr>
        <w:lastRenderedPageBreak/>
        <w:t>Registro Mortalità</w:t>
      </w:r>
      <w:r w:rsidR="00FB3A31" w:rsidRPr="006123B0">
        <w:rPr>
          <w:rFonts w:ascii="Arial" w:eastAsia="Calibri" w:hAnsi="Arial" w:cs="Arial"/>
          <w:b/>
        </w:rPr>
        <w:t>.</w:t>
      </w:r>
      <w:r w:rsidR="00FB3A31" w:rsidRPr="006123B0">
        <w:rPr>
          <w:rFonts w:ascii="Arial" w:eastAsia="Calibri" w:hAnsi="Arial" w:cs="Arial"/>
        </w:rPr>
        <w:t xml:space="preserve"> Il</w:t>
      </w:r>
      <w:r w:rsidR="00FB3A31" w:rsidRPr="006123B0">
        <w:rPr>
          <w:rFonts w:ascii="Arial" w:eastAsia="Calibri" w:hAnsi="Arial" w:cs="Arial"/>
          <w:b/>
        </w:rPr>
        <w:t xml:space="preserve"> </w:t>
      </w:r>
      <w:r w:rsidRPr="006123B0">
        <w:rPr>
          <w:rFonts w:ascii="Arial" w:hAnsi="Arial" w:cs="Arial"/>
        </w:rPr>
        <w:t xml:space="preserve"> Registro raccoglie tutte le schede </w:t>
      </w:r>
      <w:r w:rsidR="007F74D0" w:rsidRPr="006123B0">
        <w:rPr>
          <w:rFonts w:ascii="Arial" w:hAnsi="Arial" w:cs="Arial"/>
        </w:rPr>
        <w:t xml:space="preserve">di morte </w:t>
      </w:r>
      <w:r w:rsidRPr="006123B0">
        <w:rPr>
          <w:rFonts w:ascii="Arial" w:hAnsi="Arial" w:cs="Arial"/>
        </w:rPr>
        <w:t>ISTAT dei residenti ovunque sia accaduto il decesso sul territorio nazionale, codifica</w:t>
      </w:r>
      <w:r w:rsidR="001A75EE" w:rsidRPr="006123B0">
        <w:rPr>
          <w:rFonts w:ascii="Arial" w:hAnsi="Arial" w:cs="Arial"/>
        </w:rPr>
        <w:t xml:space="preserve">, applicando i criteri della classificazione internazionale delle malattie, </w:t>
      </w:r>
      <w:r w:rsidRPr="006123B0">
        <w:rPr>
          <w:rFonts w:ascii="Arial" w:hAnsi="Arial" w:cs="Arial"/>
        </w:rPr>
        <w:t>le cause che hanno concorso alla morte e, attraverso un algoritmo standardizzato, assegna la causa principale d</w:t>
      </w:r>
      <w:r w:rsidR="001A75EE" w:rsidRPr="006123B0">
        <w:rPr>
          <w:rFonts w:ascii="Arial" w:hAnsi="Arial" w:cs="Arial"/>
        </w:rPr>
        <w:t xml:space="preserve">i </w:t>
      </w:r>
      <w:r w:rsidRPr="006123B0">
        <w:rPr>
          <w:rFonts w:ascii="Arial" w:hAnsi="Arial" w:cs="Arial"/>
        </w:rPr>
        <w:t>morte</w:t>
      </w:r>
      <w:r w:rsidR="007F74D0" w:rsidRPr="006123B0">
        <w:rPr>
          <w:rFonts w:ascii="Arial" w:hAnsi="Arial" w:cs="Arial"/>
        </w:rPr>
        <w:t xml:space="preserve">. Il periodo esaminato </w:t>
      </w:r>
      <w:r w:rsidR="00D621AD" w:rsidRPr="006123B0">
        <w:rPr>
          <w:rFonts w:ascii="Arial" w:hAnsi="Arial" w:cs="Arial"/>
        </w:rPr>
        <w:t xml:space="preserve">è compreso tra il 2007 e il 2015 ed </w:t>
      </w:r>
      <w:r w:rsidR="007F74D0" w:rsidRPr="006123B0">
        <w:rPr>
          <w:rFonts w:ascii="Arial" w:eastAsia="Calibri" w:hAnsi="Arial" w:cs="Arial"/>
        </w:rPr>
        <w:t xml:space="preserve">ha prodotto il tasso </w:t>
      </w:r>
      <w:r w:rsidR="001A75EE" w:rsidRPr="006123B0">
        <w:rPr>
          <w:rFonts w:ascii="Arial" w:eastAsia="Calibri" w:hAnsi="Arial" w:cs="Arial"/>
        </w:rPr>
        <w:t xml:space="preserve">standardizzato </w:t>
      </w:r>
      <w:r w:rsidR="007F74D0" w:rsidRPr="006123B0">
        <w:rPr>
          <w:rFonts w:ascii="Arial" w:eastAsia="Calibri" w:hAnsi="Arial" w:cs="Arial"/>
        </w:rPr>
        <w:t xml:space="preserve">di mortalità x100.000 </w:t>
      </w:r>
      <w:r w:rsidR="007F74D0" w:rsidRPr="006123B0">
        <w:rPr>
          <w:rFonts w:ascii="Arial" w:eastAsia="Calibri" w:hAnsi="Arial" w:cs="Arial"/>
          <w:b/>
        </w:rPr>
        <w:t>(M nei grafici)</w:t>
      </w:r>
      <w:r w:rsidR="00D621AD" w:rsidRPr="006123B0">
        <w:rPr>
          <w:rFonts w:ascii="Arial" w:eastAsia="Calibri" w:hAnsi="Arial" w:cs="Arial"/>
          <w:b/>
        </w:rPr>
        <w:t>.</w:t>
      </w:r>
    </w:p>
    <w:p w:rsidR="00765A50" w:rsidRDefault="00765A50" w:rsidP="007F74D0">
      <w:pPr>
        <w:spacing w:after="0" w:line="240" w:lineRule="auto"/>
        <w:jc w:val="both"/>
        <w:rPr>
          <w:rFonts w:ascii="Arial" w:eastAsia="Calibri" w:hAnsi="Arial" w:cs="Arial"/>
          <w:b/>
        </w:rPr>
      </w:pPr>
    </w:p>
    <w:p w:rsidR="00765A50" w:rsidRPr="00765A50" w:rsidRDefault="00765A50" w:rsidP="007F74D0">
      <w:pPr>
        <w:spacing w:after="0" w:line="240" w:lineRule="auto"/>
        <w:jc w:val="both"/>
        <w:rPr>
          <w:rFonts w:ascii="Arial" w:eastAsia="Calibri" w:hAnsi="Arial" w:cs="Arial"/>
        </w:rPr>
      </w:pPr>
      <w:r>
        <w:rPr>
          <w:rFonts w:ascii="Arial" w:eastAsia="Calibri" w:hAnsi="Arial" w:cs="Arial"/>
          <w:b/>
        </w:rPr>
        <w:t xml:space="preserve">Nota Bene. </w:t>
      </w:r>
      <w:r>
        <w:rPr>
          <w:rFonts w:ascii="Arial" w:eastAsia="Calibri" w:hAnsi="Arial" w:cs="Arial"/>
        </w:rPr>
        <w:t xml:space="preserve">Nei grafici si rappresenta in blu i tasso relativo ai maschi e in rosa quello delle femmine. I tassi statisticamente significativi in eccesso sono riportati con carattere rosso e con asterisco. </w:t>
      </w:r>
    </w:p>
    <w:p w:rsidR="001E4FCF" w:rsidRPr="006123B0" w:rsidRDefault="001E4FCF" w:rsidP="007F74D0">
      <w:pPr>
        <w:spacing w:after="0" w:line="240" w:lineRule="auto"/>
        <w:jc w:val="both"/>
        <w:rPr>
          <w:rFonts w:ascii="Arial" w:eastAsia="Calibri" w:hAnsi="Arial" w:cs="Arial"/>
        </w:rPr>
      </w:pPr>
    </w:p>
    <w:p w:rsidR="001E4FCF" w:rsidRPr="006123B0" w:rsidRDefault="001E4FCF" w:rsidP="007F74D0">
      <w:pPr>
        <w:spacing w:after="0" w:line="240" w:lineRule="auto"/>
        <w:jc w:val="both"/>
        <w:rPr>
          <w:rFonts w:ascii="Arial" w:eastAsia="Calibri" w:hAnsi="Arial" w:cs="Arial"/>
          <w:b/>
        </w:rPr>
      </w:pPr>
      <w:r w:rsidRPr="006123B0">
        <w:rPr>
          <w:rFonts w:ascii="Arial" w:eastAsia="Calibri" w:hAnsi="Arial" w:cs="Arial"/>
          <w:b/>
        </w:rPr>
        <w:t>L</w:t>
      </w:r>
      <w:r w:rsidR="00B0015D" w:rsidRPr="006123B0">
        <w:rPr>
          <w:rFonts w:ascii="Arial" w:eastAsia="Calibri" w:hAnsi="Arial" w:cs="Arial"/>
          <w:b/>
        </w:rPr>
        <w:t>’IMMAGINE GENERALE DELLO STATO DI SALUTE</w:t>
      </w:r>
    </w:p>
    <w:p w:rsidR="001E4FCF" w:rsidRPr="006123B0" w:rsidRDefault="001E4FCF" w:rsidP="007F74D0">
      <w:pPr>
        <w:spacing w:after="0" w:line="240" w:lineRule="auto"/>
        <w:jc w:val="both"/>
        <w:rPr>
          <w:rFonts w:ascii="Arial" w:eastAsia="Calibri" w:hAnsi="Arial" w:cs="Arial"/>
          <w:b/>
          <w:u w:val="single"/>
        </w:rPr>
      </w:pPr>
    </w:p>
    <w:p w:rsidR="001E4FCF" w:rsidRPr="006123B0" w:rsidRDefault="001E4FCF" w:rsidP="007F74D0">
      <w:pPr>
        <w:spacing w:after="0" w:line="240" w:lineRule="auto"/>
        <w:jc w:val="both"/>
        <w:rPr>
          <w:rFonts w:ascii="Arial" w:eastAsia="Calibri" w:hAnsi="Arial" w:cs="Arial"/>
        </w:rPr>
      </w:pPr>
      <w:r w:rsidRPr="006123B0">
        <w:rPr>
          <w:rFonts w:ascii="Arial" w:eastAsia="Calibri" w:hAnsi="Arial" w:cs="Arial"/>
        </w:rPr>
        <w:t>La</w:t>
      </w:r>
      <w:r w:rsidRPr="006123B0">
        <w:rPr>
          <w:rFonts w:ascii="Arial" w:eastAsia="Calibri" w:hAnsi="Arial" w:cs="Arial"/>
          <w:i/>
        </w:rPr>
        <w:t xml:space="preserve"> mortalità</w:t>
      </w:r>
      <w:r w:rsidR="003D2DCE" w:rsidRPr="006123B0">
        <w:rPr>
          <w:rFonts w:ascii="Arial" w:eastAsia="Calibri" w:hAnsi="Arial" w:cs="Arial"/>
          <w:i/>
        </w:rPr>
        <w:t xml:space="preserve"> </w:t>
      </w:r>
      <w:r w:rsidRPr="006123B0">
        <w:rPr>
          <w:rFonts w:ascii="Arial" w:eastAsia="Calibri" w:hAnsi="Arial" w:cs="Arial"/>
        </w:rPr>
        <w:t>per tutte le cause</w:t>
      </w:r>
      <w:r w:rsidR="00B0015D" w:rsidRPr="006123B0">
        <w:rPr>
          <w:rFonts w:ascii="Arial" w:eastAsia="Calibri" w:hAnsi="Arial" w:cs="Arial"/>
        </w:rPr>
        <w:t xml:space="preserve"> </w:t>
      </w:r>
      <w:r w:rsidRPr="006123B0">
        <w:rPr>
          <w:rFonts w:ascii="Arial" w:eastAsia="Calibri" w:hAnsi="Arial" w:cs="Arial"/>
        </w:rPr>
        <w:t>è abbastanza allineata nei 3 Distretti, anche se a Crema risulta un po’ più elevata in modo statisticamente significativo</w:t>
      </w:r>
      <w:r w:rsidR="00F26903" w:rsidRPr="006123B0">
        <w:rPr>
          <w:rFonts w:ascii="Arial" w:eastAsia="Calibri" w:hAnsi="Arial" w:cs="Arial"/>
        </w:rPr>
        <w:t xml:space="preserve"> nelle femmine</w:t>
      </w:r>
      <w:r w:rsidRPr="006123B0">
        <w:rPr>
          <w:rFonts w:ascii="Arial" w:eastAsia="Calibri" w:hAnsi="Arial" w:cs="Arial"/>
        </w:rPr>
        <w:t>.</w:t>
      </w:r>
    </w:p>
    <w:p w:rsidR="001E4FCF" w:rsidRPr="006123B0" w:rsidRDefault="001E4FCF" w:rsidP="007F74D0">
      <w:pPr>
        <w:spacing w:after="0" w:line="240" w:lineRule="auto"/>
        <w:jc w:val="both"/>
        <w:rPr>
          <w:rFonts w:ascii="Arial" w:eastAsia="Calibri" w:hAnsi="Arial" w:cs="Arial"/>
        </w:rPr>
      </w:pPr>
      <w:r w:rsidRPr="006123B0">
        <w:rPr>
          <w:rFonts w:ascii="Arial" w:eastAsia="Calibri" w:hAnsi="Arial" w:cs="Arial"/>
        </w:rPr>
        <w:t>La d</w:t>
      </w:r>
      <w:r w:rsidR="00F26903" w:rsidRPr="006123B0">
        <w:rPr>
          <w:rFonts w:ascii="Arial" w:eastAsia="Calibri" w:hAnsi="Arial" w:cs="Arial"/>
        </w:rPr>
        <w:t xml:space="preserve">ifferenza più rilevante è però </w:t>
      </w:r>
      <w:r w:rsidRPr="006123B0">
        <w:rPr>
          <w:rFonts w:ascii="Arial" w:eastAsia="Calibri" w:hAnsi="Arial" w:cs="Arial"/>
        </w:rPr>
        <w:t>la maggior</w:t>
      </w:r>
      <w:r w:rsidR="00F26903" w:rsidRPr="006123B0">
        <w:rPr>
          <w:rFonts w:ascii="Arial" w:eastAsia="Calibri" w:hAnsi="Arial" w:cs="Arial"/>
        </w:rPr>
        <w:t xml:space="preserve"> tendenza di Cremona</w:t>
      </w:r>
      <w:r w:rsidRPr="006123B0">
        <w:rPr>
          <w:rFonts w:ascii="Arial" w:eastAsia="Calibri" w:hAnsi="Arial" w:cs="Arial"/>
        </w:rPr>
        <w:t xml:space="preserve"> </w:t>
      </w:r>
      <w:r w:rsidR="00F26903" w:rsidRPr="006123B0">
        <w:rPr>
          <w:rFonts w:ascii="Arial" w:eastAsia="Calibri" w:hAnsi="Arial" w:cs="Arial"/>
        </w:rPr>
        <w:t>(</w:t>
      </w:r>
      <w:r w:rsidRPr="006123B0">
        <w:rPr>
          <w:rFonts w:ascii="Arial" w:eastAsia="Calibri" w:hAnsi="Arial" w:cs="Arial"/>
        </w:rPr>
        <w:t>anch’essa statisticamente significativa</w:t>
      </w:r>
      <w:r w:rsidR="00F26903" w:rsidRPr="006123B0">
        <w:rPr>
          <w:rFonts w:ascii="Arial" w:eastAsia="Calibri" w:hAnsi="Arial" w:cs="Arial"/>
        </w:rPr>
        <w:t>)</w:t>
      </w:r>
      <w:r w:rsidRPr="006123B0">
        <w:rPr>
          <w:rFonts w:ascii="Arial" w:eastAsia="Calibri" w:hAnsi="Arial" w:cs="Arial"/>
        </w:rPr>
        <w:t xml:space="preserve"> all’</w:t>
      </w:r>
      <w:r w:rsidRPr="006123B0">
        <w:rPr>
          <w:rFonts w:ascii="Arial" w:eastAsia="Calibri" w:hAnsi="Arial" w:cs="Arial"/>
          <w:i/>
        </w:rPr>
        <w:t>ospedalizzazione</w:t>
      </w:r>
      <w:r w:rsidRPr="006123B0">
        <w:rPr>
          <w:rFonts w:ascii="Arial" w:eastAsia="Calibri" w:hAnsi="Arial" w:cs="Arial"/>
        </w:rPr>
        <w:t xml:space="preserve">, sia </w:t>
      </w:r>
      <w:r w:rsidR="00F26903" w:rsidRPr="006123B0">
        <w:rPr>
          <w:rFonts w:ascii="Arial" w:eastAsia="Calibri" w:hAnsi="Arial" w:cs="Arial"/>
        </w:rPr>
        <w:t xml:space="preserve">per </w:t>
      </w:r>
      <w:r w:rsidRPr="006123B0">
        <w:rPr>
          <w:rFonts w:ascii="Arial" w:eastAsia="Calibri" w:hAnsi="Arial" w:cs="Arial"/>
        </w:rPr>
        <w:t>l’intera popolazione, sia restringendo l’osservazione alla fascia di età pediatrica. Un elemento che esprime un significato ambivalente e che si potrà chiarire solo all’interno di un’analisi rivolta ad approfondire le modalità di erogazione di tutte le prestazioni sanitarie, ospedaliere e territoriali. Infatti, se l’ospedalizzazione da una parte indica che la popolazione affetta da patologia riceve un</w:t>
      </w:r>
      <w:r w:rsidR="00522D01" w:rsidRPr="006123B0">
        <w:rPr>
          <w:rFonts w:ascii="Arial" w:eastAsia="Calibri" w:hAnsi="Arial" w:cs="Arial"/>
        </w:rPr>
        <w:t xml:space="preserve">’assistenza </w:t>
      </w:r>
      <w:r w:rsidRPr="006123B0">
        <w:rPr>
          <w:rFonts w:ascii="Arial" w:eastAsia="Calibri" w:hAnsi="Arial" w:cs="Arial"/>
        </w:rPr>
        <w:t xml:space="preserve"> sanitari</w:t>
      </w:r>
      <w:r w:rsidR="00522D01" w:rsidRPr="006123B0">
        <w:rPr>
          <w:rFonts w:ascii="Arial" w:eastAsia="Calibri" w:hAnsi="Arial" w:cs="Arial"/>
        </w:rPr>
        <w:t>a</w:t>
      </w:r>
      <w:r w:rsidRPr="006123B0">
        <w:rPr>
          <w:rFonts w:ascii="Arial" w:eastAsia="Calibri" w:hAnsi="Arial" w:cs="Arial"/>
        </w:rPr>
        <w:t xml:space="preserve">, dall’altra rileva come tale </w:t>
      </w:r>
      <w:r w:rsidR="00522D01" w:rsidRPr="006123B0">
        <w:rPr>
          <w:rFonts w:ascii="Arial" w:eastAsia="Calibri" w:hAnsi="Arial" w:cs="Arial"/>
        </w:rPr>
        <w:t xml:space="preserve">assistenza </w:t>
      </w:r>
      <w:r w:rsidRPr="006123B0">
        <w:rPr>
          <w:rFonts w:ascii="Arial" w:eastAsia="Calibri" w:hAnsi="Arial" w:cs="Arial"/>
        </w:rPr>
        <w:t>abbia carattere istituzionalizzante</w:t>
      </w:r>
      <w:r w:rsidR="00F26903" w:rsidRPr="006123B0">
        <w:rPr>
          <w:rFonts w:ascii="Arial" w:eastAsia="Calibri" w:hAnsi="Arial" w:cs="Arial"/>
        </w:rPr>
        <w:t xml:space="preserve"> che, per le patologie croniche numericam</w:t>
      </w:r>
      <w:r w:rsidR="00522D01" w:rsidRPr="006123B0">
        <w:rPr>
          <w:rFonts w:ascii="Arial" w:eastAsia="Calibri" w:hAnsi="Arial" w:cs="Arial"/>
        </w:rPr>
        <w:t>ente prevalenti, non è sempre la</w:t>
      </w:r>
      <w:r w:rsidR="00F26903" w:rsidRPr="006123B0">
        <w:rPr>
          <w:rFonts w:ascii="Arial" w:eastAsia="Calibri" w:hAnsi="Arial" w:cs="Arial"/>
        </w:rPr>
        <w:t xml:space="preserve"> migliore, in primis </w:t>
      </w:r>
      <w:r w:rsidR="00522D01" w:rsidRPr="006123B0">
        <w:rPr>
          <w:rFonts w:ascii="Arial" w:eastAsia="Calibri" w:hAnsi="Arial" w:cs="Arial"/>
        </w:rPr>
        <w:t>per la salute, con particolare riferimento alle fasce di popolazione fragile, quali anziani e bambini, ma neppure sotto il profilo dell’utilizzo appropriato delle risorse.</w:t>
      </w:r>
    </w:p>
    <w:p w:rsidR="00F26903" w:rsidRPr="006123B0" w:rsidRDefault="00F26903" w:rsidP="007F74D0">
      <w:pPr>
        <w:spacing w:after="0" w:line="240" w:lineRule="auto"/>
        <w:jc w:val="both"/>
        <w:rPr>
          <w:rFonts w:ascii="Arial" w:eastAsia="Calibri" w:hAnsi="Arial" w:cs="Arial"/>
        </w:rPr>
      </w:pPr>
      <w:r w:rsidRPr="006123B0">
        <w:rPr>
          <w:rFonts w:ascii="Arial" w:eastAsia="Calibri" w:hAnsi="Arial" w:cs="Arial"/>
        </w:rPr>
        <w:t xml:space="preserve">Uno sguardo a parte meritano i </w:t>
      </w:r>
      <w:r w:rsidRPr="006123B0">
        <w:rPr>
          <w:rFonts w:ascii="Arial" w:eastAsia="Calibri" w:hAnsi="Arial" w:cs="Arial"/>
          <w:i/>
        </w:rPr>
        <w:t>traumatismi</w:t>
      </w:r>
      <w:r w:rsidRPr="006123B0">
        <w:rPr>
          <w:rFonts w:ascii="Arial" w:eastAsia="Calibri" w:hAnsi="Arial" w:cs="Arial"/>
        </w:rPr>
        <w:t xml:space="preserve">, la cui mortalità </w:t>
      </w:r>
      <w:r w:rsidR="00522D01" w:rsidRPr="006123B0">
        <w:rPr>
          <w:rFonts w:ascii="Arial" w:eastAsia="Calibri" w:hAnsi="Arial" w:cs="Arial"/>
        </w:rPr>
        <w:t xml:space="preserve">a Mantova </w:t>
      </w:r>
      <w:r w:rsidRPr="006123B0">
        <w:rPr>
          <w:rFonts w:ascii="Arial" w:eastAsia="Calibri" w:hAnsi="Arial" w:cs="Arial"/>
        </w:rPr>
        <w:t>spicca soprattutto nei maschi sopravanzando nettamente quella degli altri Distretti. La maggior ospedalizzazione, trattandosi di eventi acuti, in questo caso rafforza l’evidenza.</w:t>
      </w:r>
    </w:p>
    <w:p w:rsidR="00F26903" w:rsidRPr="006123B0" w:rsidRDefault="00F26903" w:rsidP="007F74D0">
      <w:pPr>
        <w:spacing w:after="0" w:line="240" w:lineRule="auto"/>
        <w:jc w:val="both"/>
        <w:rPr>
          <w:rFonts w:ascii="Arial" w:eastAsia="Calibri" w:hAnsi="Arial" w:cs="Arial"/>
        </w:rPr>
      </w:pPr>
    </w:p>
    <w:p w:rsidR="006A5DE3" w:rsidRPr="006123B0" w:rsidRDefault="006A5DE3" w:rsidP="007F74D0">
      <w:pPr>
        <w:pStyle w:val="Nessunaspaziatura"/>
        <w:jc w:val="both"/>
        <w:rPr>
          <w:rFonts w:ascii="Arial" w:hAnsi="Arial" w:cs="Arial"/>
        </w:rPr>
      </w:pPr>
    </w:p>
    <w:tbl>
      <w:tblPr>
        <w:tblW w:w="10540" w:type="dxa"/>
        <w:jc w:val="center"/>
        <w:tblInd w:w="55" w:type="dxa"/>
        <w:tblCellMar>
          <w:left w:w="70" w:type="dxa"/>
          <w:right w:w="70" w:type="dxa"/>
        </w:tblCellMar>
        <w:tblLook w:val="04A0" w:firstRow="1" w:lastRow="0" w:firstColumn="1" w:lastColumn="0" w:noHBand="0" w:noVBand="1"/>
      </w:tblPr>
      <w:tblGrid>
        <w:gridCol w:w="5780"/>
        <w:gridCol w:w="4880"/>
      </w:tblGrid>
      <w:tr w:rsidR="008E7CD9" w:rsidRPr="006123B0" w:rsidTr="005D38E3">
        <w:trPr>
          <w:trHeight w:val="280"/>
          <w:jc w:val="center"/>
        </w:trPr>
        <w:tc>
          <w:tcPr>
            <w:tcW w:w="5690" w:type="dxa"/>
            <w:shd w:val="clear" w:color="auto" w:fill="auto"/>
            <w:vAlign w:val="bottom"/>
          </w:tcPr>
          <w:p w:rsidR="008E7CD9" w:rsidRPr="006123B0" w:rsidRDefault="009B4CB9" w:rsidP="009817D6">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DA6EDE8" wp14:editId="78019BD8">
                  <wp:extent cx="3571336" cy="2018581"/>
                  <wp:effectExtent l="0" t="0" r="10160" b="20320"/>
                  <wp:docPr id="58" name="Gra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850" w:type="dxa"/>
            <w:shd w:val="clear" w:color="auto" w:fill="auto"/>
            <w:noWrap/>
            <w:vAlign w:val="bottom"/>
          </w:tcPr>
          <w:p w:rsidR="008E7CD9" w:rsidRPr="006123B0" w:rsidRDefault="009B4CB9" w:rsidP="009817D6">
            <w:pPr>
              <w:spacing w:after="0" w:line="240" w:lineRule="auto"/>
              <w:jc w:val="center"/>
              <w:rPr>
                <w:rFonts w:ascii="Arial" w:eastAsia="Times New Roman" w:hAnsi="Arial" w:cs="Arial"/>
                <w:color w:val="000000"/>
                <w:lang w:eastAsia="it-IT"/>
              </w:rPr>
            </w:pPr>
            <w:r w:rsidRPr="006123B0">
              <w:rPr>
                <w:rFonts w:ascii="Arial" w:hAnsi="Arial" w:cs="Arial"/>
                <w:noProof/>
                <w:lang w:eastAsia="it-IT"/>
              </w:rPr>
              <w:drawing>
                <wp:inline distT="0" distB="0" distL="0" distR="0" wp14:anchorId="70C4A101" wp14:editId="4261A703">
                  <wp:extent cx="2829464" cy="1984076"/>
                  <wp:effectExtent l="0" t="0" r="9525" b="16510"/>
                  <wp:docPr id="56" name="Gra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8E7CD9" w:rsidRPr="006123B0" w:rsidTr="005D38E3">
        <w:trPr>
          <w:trHeight w:val="280"/>
          <w:jc w:val="center"/>
        </w:trPr>
        <w:tc>
          <w:tcPr>
            <w:tcW w:w="5690" w:type="dxa"/>
            <w:shd w:val="clear" w:color="auto" w:fill="auto"/>
            <w:vAlign w:val="bottom"/>
          </w:tcPr>
          <w:p w:rsidR="008E7CD9" w:rsidRPr="006123B0" w:rsidRDefault="009B4CB9" w:rsidP="009817D6">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3750FD79" wp14:editId="3918ED90">
                  <wp:extent cx="3571336" cy="2156604"/>
                  <wp:effectExtent l="0" t="0" r="10160" b="15240"/>
                  <wp:docPr id="67" name="Grafico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850" w:type="dxa"/>
            <w:shd w:val="clear" w:color="auto" w:fill="auto"/>
            <w:noWrap/>
            <w:vAlign w:val="bottom"/>
          </w:tcPr>
          <w:p w:rsidR="008E7CD9" w:rsidRPr="006123B0" w:rsidRDefault="006411E7" w:rsidP="009817D6">
            <w:pPr>
              <w:spacing w:after="0" w:line="240" w:lineRule="auto"/>
              <w:jc w:val="center"/>
              <w:rPr>
                <w:rFonts w:ascii="Arial" w:eastAsia="Times New Roman" w:hAnsi="Arial" w:cs="Arial"/>
                <w:color w:val="000000"/>
                <w:lang w:eastAsia="it-IT"/>
              </w:rPr>
            </w:pPr>
            <w:r w:rsidRPr="006123B0">
              <w:rPr>
                <w:rFonts w:ascii="Arial" w:hAnsi="Arial" w:cs="Arial"/>
                <w:noProof/>
                <w:lang w:eastAsia="it-IT"/>
              </w:rPr>
              <w:drawing>
                <wp:inline distT="0" distB="0" distL="0" distR="0" wp14:anchorId="0C5E88A7" wp14:editId="21AD3241">
                  <wp:extent cx="2967487" cy="2156604"/>
                  <wp:effectExtent l="0" t="0" r="23495" b="15240"/>
                  <wp:docPr id="50" name="Gra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6008B4" w:rsidRPr="006123B0" w:rsidTr="005D38E3">
        <w:trPr>
          <w:trHeight w:val="280"/>
          <w:jc w:val="center"/>
        </w:trPr>
        <w:tc>
          <w:tcPr>
            <w:tcW w:w="5690" w:type="dxa"/>
            <w:shd w:val="clear" w:color="auto" w:fill="auto"/>
            <w:vAlign w:val="bottom"/>
          </w:tcPr>
          <w:p w:rsidR="006008B4" w:rsidRPr="006123B0" w:rsidRDefault="005D38E3" w:rsidP="009817D6">
            <w:pPr>
              <w:spacing w:after="0" w:line="240" w:lineRule="auto"/>
              <w:rPr>
                <w:rFonts w:ascii="Arial" w:hAnsi="Arial" w:cs="Arial"/>
                <w:noProof/>
                <w:lang w:eastAsia="it-IT"/>
              </w:rPr>
            </w:pPr>
            <w:r>
              <w:rPr>
                <w:noProof/>
                <w:lang w:eastAsia="it-IT"/>
              </w:rPr>
              <w:lastRenderedPageBreak/>
              <w:drawing>
                <wp:inline distT="0" distB="0" distL="0" distR="0" wp14:anchorId="29272B56" wp14:editId="5EB64860">
                  <wp:extent cx="3571335" cy="2147977"/>
                  <wp:effectExtent l="0" t="0" r="10160" b="24130"/>
                  <wp:docPr id="61" name="Gra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850" w:type="dxa"/>
            <w:shd w:val="clear" w:color="auto" w:fill="auto"/>
            <w:noWrap/>
            <w:vAlign w:val="bottom"/>
          </w:tcPr>
          <w:p w:rsidR="006008B4" w:rsidRPr="006123B0" w:rsidRDefault="006008B4" w:rsidP="009817D6">
            <w:pPr>
              <w:spacing w:after="0" w:line="240" w:lineRule="auto"/>
              <w:jc w:val="center"/>
              <w:rPr>
                <w:rFonts w:ascii="Arial" w:eastAsia="Times New Roman" w:hAnsi="Arial" w:cs="Arial"/>
                <w:color w:val="000000"/>
                <w:lang w:eastAsia="it-IT"/>
              </w:rPr>
            </w:pPr>
            <w:r w:rsidRPr="006123B0">
              <w:rPr>
                <w:rFonts w:ascii="Arial" w:hAnsi="Arial" w:cs="Arial"/>
                <w:noProof/>
                <w:lang w:eastAsia="it-IT"/>
              </w:rPr>
              <w:drawing>
                <wp:inline distT="0" distB="0" distL="0" distR="0" wp14:anchorId="66D229EA" wp14:editId="279EF23E">
                  <wp:extent cx="2993366" cy="2191109"/>
                  <wp:effectExtent l="0" t="0" r="17145" b="19050"/>
                  <wp:docPr id="48" name="Gra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411E7" w:rsidRPr="006123B0" w:rsidRDefault="006411E7" w:rsidP="00A54C79">
      <w:pPr>
        <w:rPr>
          <w:rFonts w:ascii="Arial" w:hAnsi="Arial" w:cs="Arial"/>
          <w:b/>
        </w:rPr>
      </w:pPr>
    </w:p>
    <w:p w:rsidR="0088329B" w:rsidRPr="006123B0" w:rsidRDefault="00D02400" w:rsidP="00A54C79">
      <w:pPr>
        <w:rPr>
          <w:rFonts w:ascii="Arial" w:hAnsi="Arial" w:cs="Arial"/>
          <w:b/>
        </w:rPr>
      </w:pPr>
      <w:r w:rsidRPr="006123B0">
        <w:rPr>
          <w:rFonts w:ascii="Arial" w:hAnsi="Arial" w:cs="Arial"/>
          <w:b/>
        </w:rPr>
        <w:t xml:space="preserve">La </w:t>
      </w:r>
      <w:r w:rsidR="0088329B" w:rsidRPr="006123B0">
        <w:rPr>
          <w:rFonts w:ascii="Arial" w:hAnsi="Arial" w:cs="Arial"/>
          <w:b/>
        </w:rPr>
        <w:t xml:space="preserve">Patologia </w:t>
      </w:r>
      <w:r w:rsidRPr="006123B0">
        <w:rPr>
          <w:rFonts w:ascii="Arial" w:hAnsi="Arial" w:cs="Arial"/>
          <w:b/>
        </w:rPr>
        <w:t>O</w:t>
      </w:r>
      <w:r w:rsidR="0088329B" w:rsidRPr="006123B0">
        <w:rPr>
          <w:rFonts w:ascii="Arial" w:hAnsi="Arial" w:cs="Arial"/>
          <w:b/>
        </w:rPr>
        <w:t>ncologica</w:t>
      </w:r>
    </w:p>
    <w:p w:rsidR="008145BE" w:rsidRPr="006123B0" w:rsidRDefault="008145BE" w:rsidP="003A239D">
      <w:pPr>
        <w:pStyle w:val="Nessunaspaziatura"/>
        <w:jc w:val="both"/>
        <w:rPr>
          <w:rFonts w:ascii="Arial" w:hAnsi="Arial" w:cs="Arial"/>
        </w:rPr>
      </w:pPr>
      <w:r w:rsidRPr="006123B0">
        <w:rPr>
          <w:rFonts w:ascii="Arial" w:hAnsi="Arial" w:cs="Arial"/>
        </w:rPr>
        <w:t xml:space="preserve">Mortalità, incidenza e ospedalizzazione per </w:t>
      </w:r>
      <w:r w:rsidRPr="006123B0">
        <w:rPr>
          <w:rFonts w:ascii="Arial" w:hAnsi="Arial" w:cs="Arial"/>
          <w:i/>
        </w:rPr>
        <w:t>tutti tumori</w:t>
      </w:r>
      <w:r w:rsidRPr="006123B0">
        <w:rPr>
          <w:rFonts w:ascii="Arial" w:hAnsi="Arial" w:cs="Arial"/>
        </w:rPr>
        <w:t xml:space="preserve"> sono complessivamente più elevate a Cremona e questo indica che lì il fenomeno neoplastico è più consistente. Specularmente più basse invece a Mantova. A Crema si registra una prevalenza più alta, un indicatore che </w:t>
      </w:r>
      <w:r w:rsidR="00E82439" w:rsidRPr="006123B0">
        <w:rPr>
          <w:rFonts w:ascii="Arial" w:hAnsi="Arial" w:cs="Arial"/>
        </w:rPr>
        <w:t xml:space="preserve">individua </w:t>
      </w:r>
      <w:r w:rsidRPr="006123B0">
        <w:rPr>
          <w:rFonts w:ascii="Arial" w:hAnsi="Arial" w:cs="Arial"/>
        </w:rPr>
        <w:t>soltanto una maggiore domanda di assistenza in questo territorio, ma che nulla rileva rispetto al rischio ed alla prognosi.</w:t>
      </w:r>
    </w:p>
    <w:p w:rsidR="003A239D" w:rsidRPr="006123B0" w:rsidRDefault="003A239D"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Osservando nel dettaglio le diverse sedi tumorali, emergono tuttavia altre importanti differenze. Cominciamo con i cosiddetti tumori da screening.</w:t>
      </w:r>
    </w:p>
    <w:p w:rsidR="003A239D" w:rsidRPr="006123B0" w:rsidRDefault="003A239D"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Per il tumore della </w:t>
      </w:r>
      <w:r w:rsidRPr="006123B0">
        <w:rPr>
          <w:rFonts w:ascii="Arial" w:eastAsia="Times New Roman" w:hAnsi="Arial" w:cs="Arial"/>
          <w:i/>
          <w:color w:val="000000"/>
          <w:lang w:eastAsia="it-IT"/>
        </w:rPr>
        <w:t>mammella</w:t>
      </w:r>
      <w:r w:rsidRPr="006123B0">
        <w:rPr>
          <w:rFonts w:ascii="Arial" w:eastAsia="Times New Roman" w:hAnsi="Arial" w:cs="Arial"/>
          <w:color w:val="000000"/>
          <w:lang w:eastAsia="it-IT"/>
        </w:rPr>
        <w:t xml:space="preserve"> la mortalità è più bassa a Mantova e più alta a Crema, viceversa l’incidenza. Questo significa che a Mantova lo screening mammografico funziona meglio, perché la diagnosi precoce garantisce verosimilmente un trattamento anticipato e quindi più efficace in termini di sopravvivenza.</w:t>
      </w:r>
    </w:p>
    <w:p w:rsidR="003A239D" w:rsidRPr="006123B0" w:rsidRDefault="003A239D"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Per quanto riguarda invece il tumore del </w:t>
      </w:r>
      <w:r w:rsidRPr="006123B0">
        <w:rPr>
          <w:rFonts w:ascii="Arial" w:eastAsia="Times New Roman" w:hAnsi="Arial" w:cs="Arial"/>
          <w:i/>
          <w:color w:val="000000"/>
          <w:lang w:eastAsia="it-IT"/>
        </w:rPr>
        <w:t>colon retto</w:t>
      </w:r>
      <w:r w:rsidRPr="006123B0">
        <w:rPr>
          <w:rFonts w:ascii="Arial" w:eastAsia="Times New Roman" w:hAnsi="Arial" w:cs="Arial"/>
          <w:color w:val="000000"/>
          <w:lang w:eastAsia="it-IT"/>
        </w:rPr>
        <w:t xml:space="preserve">, la più elevata incidenza a Mantova non si traduce in un altrettanta riduzione della mortalità. Ragionevolmente perché l’adesione della popolazione a questo screening “più giovane” non raggiunge ancora livelli  </w:t>
      </w:r>
      <w:r w:rsidR="00E82439" w:rsidRPr="006123B0">
        <w:rPr>
          <w:rFonts w:ascii="Arial" w:eastAsia="Times New Roman" w:hAnsi="Arial" w:cs="Arial"/>
          <w:color w:val="000000"/>
          <w:lang w:eastAsia="it-IT"/>
        </w:rPr>
        <w:t>adeguati.</w:t>
      </w:r>
    </w:p>
    <w:p w:rsidR="00E82439" w:rsidRPr="006123B0" w:rsidRDefault="00E82439"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La più bassa mortalità ed incidenza del tumore della </w:t>
      </w:r>
      <w:r w:rsidRPr="006123B0">
        <w:rPr>
          <w:rFonts w:ascii="Arial" w:eastAsia="Times New Roman" w:hAnsi="Arial" w:cs="Arial"/>
          <w:i/>
          <w:color w:val="000000"/>
          <w:lang w:eastAsia="it-IT"/>
        </w:rPr>
        <w:t>cervice uterina</w:t>
      </w:r>
      <w:r w:rsidRPr="006123B0">
        <w:rPr>
          <w:rFonts w:ascii="Arial" w:eastAsia="Times New Roman" w:hAnsi="Arial" w:cs="Arial"/>
          <w:color w:val="000000"/>
          <w:lang w:eastAsia="it-IT"/>
        </w:rPr>
        <w:t xml:space="preserve"> a Mantova, nel confronto con Cremona, indica invece che lo screening è probabilmente riuscito a catturare lesioni </w:t>
      </w:r>
      <w:proofErr w:type="spellStart"/>
      <w:r w:rsidRPr="006123B0">
        <w:rPr>
          <w:rFonts w:ascii="Arial" w:eastAsia="Times New Roman" w:hAnsi="Arial" w:cs="Arial"/>
          <w:color w:val="000000"/>
          <w:lang w:eastAsia="it-IT"/>
        </w:rPr>
        <w:t>pre</w:t>
      </w:r>
      <w:proofErr w:type="spellEnd"/>
      <w:r w:rsidRPr="006123B0">
        <w:rPr>
          <w:rFonts w:ascii="Arial" w:eastAsia="Times New Roman" w:hAnsi="Arial" w:cs="Arial"/>
          <w:color w:val="000000"/>
          <w:lang w:eastAsia="it-IT"/>
        </w:rPr>
        <w:t xml:space="preserve">-neoplastiche e quindi anche a ridurre l’incidenza. Perplessità suscita invece il dato di Crema in cui alla bassa incidenza si associa un’alta mortalità.  </w:t>
      </w:r>
      <w:r w:rsidR="00522D01" w:rsidRPr="006123B0">
        <w:rPr>
          <w:rFonts w:ascii="Arial" w:eastAsia="Times New Roman" w:hAnsi="Arial" w:cs="Arial"/>
          <w:color w:val="000000"/>
          <w:lang w:eastAsia="it-IT"/>
        </w:rPr>
        <w:t xml:space="preserve">Differenze </w:t>
      </w:r>
      <w:r w:rsidRPr="006123B0">
        <w:rPr>
          <w:rFonts w:ascii="Arial" w:eastAsia="Times New Roman" w:hAnsi="Arial" w:cs="Arial"/>
          <w:color w:val="000000"/>
          <w:lang w:eastAsia="it-IT"/>
        </w:rPr>
        <w:t xml:space="preserve">che </w:t>
      </w:r>
      <w:r w:rsidR="00522D01" w:rsidRPr="006123B0">
        <w:rPr>
          <w:rFonts w:ascii="Arial" w:eastAsia="Times New Roman" w:hAnsi="Arial" w:cs="Arial"/>
          <w:color w:val="000000"/>
          <w:lang w:eastAsia="it-IT"/>
        </w:rPr>
        <w:t xml:space="preserve">complessivamente </w:t>
      </w:r>
      <w:r w:rsidRPr="006123B0">
        <w:rPr>
          <w:rFonts w:ascii="Arial" w:eastAsia="Times New Roman" w:hAnsi="Arial" w:cs="Arial"/>
          <w:color w:val="000000"/>
          <w:lang w:eastAsia="it-IT"/>
        </w:rPr>
        <w:t>potrebbe</w:t>
      </w:r>
      <w:r w:rsidR="00522D01" w:rsidRPr="006123B0">
        <w:rPr>
          <w:rFonts w:ascii="Arial" w:eastAsia="Times New Roman" w:hAnsi="Arial" w:cs="Arial"/>
          <w:color w:val="000000"/>
          <w:lang w:eastAsia="it-IT"/>
        </w:rPr>
        <w:t>ro</w:t>
      </w:r>
      <w:r w:rsidRPr="006123B0">
        <w:rPr>
          <w:rFonts w:ascii="Arial" w:eastAsia="Times New Roman" w:hAnsi="Arial" w:cs="Arial"/>
          <w:color w:val="000000"/>
          <w:lang w:eastAsia="it-IT"/>
        </w:rPr>
        <w:t xml:space="preserve"> però essere spia della maggiore storica presenza dei Consultori sul territorio mantovano.</w:t>
      </w:r>
    </w:p>
    <w:p w:rsidR="00BB1967" w:rsidRPr="006123B0" w:rsidRDefault="00BB1967"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Il tumore della </w:t>
      </w:r>
      <w:r w:rsidRPr="006123B0">
        <w:rPr>
          <w:rFonts w:ascii="Arial" w:eastAsia="Times New Roman" w:hAnsi="Arial" w:cs="Arial"/>
          <w:i/>
          <w:color w:val="000000"/>
          <w:lang w:eastAsia="it-IT"/>
        </w:rPr>
        <w:t xml:space="preserve">prostata </w:t>
      </w:r>
      <w:r w:rsidR="00826B8E" w:rsidRPr="006123B0">
        <w:rPr>
          <w:rFonts w:ascii="Arial" w:eastAsia="Times New Roman" w:hAnsi="Arial" w:cs="Arial"/>
          <w:color w:val="000000"/>
          <w:lang w:eastAsia="it-IT"/>
        </w:rPr>
        <w:t xml:space="preserve">mostra invece a Mantova </w:t>
      </w:r>
      <w:r w:rsidRPr="006123B0">
        <w:rPr>
          <w:rFonts w:ascii="Arial" w:eastAsia="Times New Roman" w:hAnsi="Arial" w:cs="Arial"/>
          <w:color w:val="000000"/>
          <w:lang w:eastAsia="it-IT"/>
        </w:rPr>
        <w:t xml:space="preserve">nella distribuzione territoriale una situazione </w:t>
      </w:r>
      <w:r w:rsidR="004F618B" w:rsidRPr="006123B0">
        <w:rPr>
          <w:rFonts w:ascii="Arial" w:eastAsia="Times New Roman" w:hAnsi="Arial" w:cs="Arial"/>
          <w:color w:val="000000"/>
          <w:lang w:eastAsia="it-IT"/>
        </w:rPr>
        <w:t xml:space="preserve">critica </w:t>
      </w:r>
      <w:r w:rsidRPr="006123B0">
        <w:rPr>
          <w:rFonts w:ascii="Arial" w:eastAsia="Times New Roman" w:hAnsi="Arial" w:cs="Arial"/>
          <w:color w:val="000000"/>
          <w:lang w:eastAsia="it-IT"/>
        </w:rPr>
        <w:t xml:space="preserve">analoga a quella di Crema rispetto alla cervice uterina, cioè più alta mortalità a fronte di una più bassa incidenza. </w:t>
      </w:r>
    </w:p>
    <w:p w:rsidR="00BB1967" w:rsidRPr="006123B0" w:rsidRDefault="00BB1967"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Anche per il </w:t>
      </w:r>
      <w:r w:rsidRPr="006123B0">
        <w:rPr>
          <w:rFonts w:ascii="Arial" w:eastAsia="Times New Roman" w:hAnsi="Arial" w:cs="Arial"/>
          <w:i/>
          <w:color w:val="000000"/>
          <w:lang w:eastAsia="it-IT"/>
        </w:rPr>
        <w:t>tumore primitivo del fegato</w:t>
      </w:r>
      <w:r w:rsidRPr="006123B0">
        <w:rPr>
          <w:rFonts w:ascii="Arial" w:eastAsia="Times New Roman" w:hAnsi="Arial" w:cs="Arial"/>
          <w:color w:val="000000"/>
          <w:lang w:eastAsia="it-IT"/>
        </w:rPr>
        <w:t xml:space="preserve"> si colgono delle differenze importanti</w:t>
      </w:r>
      <w:r w:rsidR="00492F2E" w:rsidRPr="006123B0">
        <w:rPr>
          <w:rFonts w:ascii="Arial" w:eastAsia="Times New Roman" w:hAnsi="Arial" w:cs="Arial"/>
          <w:color w:val="000000"/>
          <w:lang w:eastAsia="it-IT"/>
        </w:rPr>
        <w:t xml:space="preserve"> in entrambi i sessi</w:t>
      </w:r>
      <w:r w:rsidRPr="006123B0">
        <w:rPr>
          <w:rFonts w:ascii="Arial" w:eastAsia="Times New Roman" w:hAnsi="Arial" w:cs="Arial"/>
          <w:color w:val="000000"/>
          <w:lang w:eastAsia="it-IT"/>
        </w:rPr>
        <w:t>. Sia l’incidenza che la mortalità decrescono progressivamente movendo da Crema a Mantova e ciò, in considerazione dell’alta letalità di questo tumore, induce a considerare una differente presenza di fattori di rischio da esplorare.</w:t>
      </w:r>
    </w:p>
    <w:p w:rsidR="00BB1967" w:rsidRPr="006123B0" w:rsidRDefault="00492F2E"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Analogo</w:t>
      </w:r>
      <w:r w:rsidR="00BB1967" w:rsidRPr="006123B0">
        <w:rPr>
          <w:rFonts w:ascii="Arial" w:eastAsia="Times New Roman" w:hAnsi="Arial" w:cs="Arial"/>
          <w:color w:val="000000"/>
          <w:lang w:eastAsia="it-IT"/>
        </w:rPr>
        <w:t>, ma molto</w:t>
      </w:r>
      <w:r w:rsidR="00B0015D" w:rsidRPr="006123B0">
        <w:rPr>
          <w:rFonts w:ascii="Arial" w:eastAsia="Times New Roman" w:hAnsi="Arial" w:cs="Arial"/>
          <w:color w:val="000000"/>
          <w:lang w:eastAsia="it-IT"/>
        </w:rPr>
        <w:t xml:space="preserve"> meno netto</w:t>
      </w:r>
      <w:r w:rsidRPr="006123B0">
        <w:rPr>
          <w:rFonts w:ascii="Arial" w:eastAsia="Times New Roman" w:hAnsi="Arial" w:cs="Arial"/>
          <w:color w:val="000000"/>
          <w:lang w:eastAsia="it-IT"/>
        </w:rPr>
        <w:t>,</w:t>
      </w:r>
      <w:r w:rsidR="00BB1967" w:rsidRPr="006123B0">
        <w:rPr>
          <w:rFonts w:ascii="Arial" w:eastAsia="Times New Roman" w:hAnsi="Arial" w:cs="Arial"/>
          <w:color w:val="000000"/>
          <w:lang w:eastAsia="it-IT"/>
        </w:rPr>
        <w:t xml:space="preserve"> questo stesso andamento per il tumore del </w:t>
      </w:r>
      <w:r w:rsidR="00BB1967" w:rsidRPr="006123B0">
        <w:rPr>
          <w:rFonts w:ascii="Arial" w:eastAsia="Times New Roman" w:hAnsi="Arial" w:cs="Arial"/>
          <w:i/>
          <w:color w:val="000000"/>
          <w:lang w:eastAsia="it-IT"/>
        </w:rPr>
        <w:t>pancreas.</w:t>
      </w:r>
      <w:r w:rsidR="00BB1967" w:rsidRPr="006123B0">
        <w:rPr>
          <w:rFonts w:ascii="Arial" w:eastAsia="Times New Roman" w:hAnsi="Arial" w:cs="Arial"/>
          <w:color w:val="000000"/>
          <w:lang w:eastAsia="it-IT"/>
        </w:rPr>
        <w:t xml:space="preserve"> </w:t>
      </w:r>
    </w:p>
    <w:p w:rsidR="00492F2E" w:rsidRPr="006123B0" w:rsidRDefault="00492F2E"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Sovrapponibile nei 3 Distretti invece il quadro per il </w:t>
      </w:r>
      <w:r w:rsidRPr="006123B0">
        <w:rPr>
          <w:rFonts w:ascii="Arial" w:eastAsia="Times New Roman" w:hAnsi="Arial" w:cs="Arial"/>
          <w:i/>
          <w:color w:val="000000"/>
          <w:lang w:eastAsia="it-IT"/>
        </w:rPr>
        <w:t>tumore primitivo del polmone.</w:t>
      </w:r>
    </w:p>
    <w:p w:rsidR="00492F2E" w:rsidRPr="006123B0" w:rsidRDefault="00492F2E"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Peculiare del Distretto di Mantova è invece l’incidenza del tumore della</w:t>
      </w:r>
      <w:r w:rsidRPr="006123B0">
        <w:rPr>
          <w:rFonts w:ascii="Arial" w:eastAsia="Times New Roman" w:hAnsi="Arial" w:cs="Arial"/>
          <w:i/>
          <w:color w:val="000000"/>
          <w:lang w:eastAsia="it-IT"/>
        </w:rPr>
        <w:t xml:space="preserve"> tiroide</w:t>
      </w:r>
      <w:r w:rsidRPr="006123B0">
        <w:rPr>
          <w:rFonts w:ascii="Arial" w:eastAsia="Times New Roman" w:hAnsi="Arial" w:cs="Arial"/>
          <w:color w:val="000000"/>
          <w:lang w:eastAsia="it-IT"/>
        </w:rPr>
        <w:t xml:space="preserve"> soprattutto nelle femmine raggiungendo anche la significatività statistica.</w:t>
      </w:r>
    </w:p>
    <w:p w:rsidR="00492F2E" w:rsidRPr="006123B0" w:rsidRDefault="00492F2E"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Analoga peculiarità per Cremona è l’elevata incidenza e mortalità per il tumore dello </w:t>
      </w:r>
      <w:r w:rsidRPr="006123B0">
        <w:rPr>
          <w:rFonts w:ascii="Arial" w:eastAsia="Times New Roman" w:hAnsi="Arial" w:cs="Arial"/>
          <w:i/>
          <w:color w:val="000000"/>
          <w:lang w:eastAsia="it-IT"/>
        </w:rPr>
        <w:t>stomaco</w:t>
      </w:r>
      <w:r w:rsidRPr="006123B0">
        <w:rPr>
          <w:rFonts w:ascii="Arial" w:eastAsia="Times New Roman" w:hAnsi="Arial" w:cs="Arial"/>
          <w:color w:val="000000"/>
          <w:lang w:eastAsia="it-IT"/>
        </w:rPr>
        <w:t xml:space="preserve"> che storicamente caratterizza l’area attraversata dall’O</w:t>
      </w:r>
      <w:r w:rsidR="00475D03" w:rsidRPr="006123B0">
        <w:rPr>
          <w:rFonts w:ascii="Arial" w:eastAsia="Times New Roman" w:hAnsi="Arial" w:cs="Arial"/>
          <w:color w:val="000000"/>
          <w:lang w:eastAsia="it-IT"/>
        </w:rPr>
        <w:t>g</w:t>
      </w:r>
      <w:r w:rsidRPr="006123B0">
        <w:rPr>
          <w:rFonts w:ascii="Arial" w:eastAsia="Times New Roman" w:hAnsi="Arial" w:cs="Arial"/>
          <w:color w:val="000000"/>
          <w:lang w:eastAsia="it-IT"/>
        </w:rPr>
        <w:t>lio</w:t>
      </w:r>
      <w:r w:rsidR="00B0015D" w:rsidRPr="006123B0">
        <w:rPr>
          <w:rFonts w:ascii="Arial" w:eastAsia="Times New Roman" w:hAnsi="Arial" w:cs="Arial"/>
          <w:color w:val="000000"/>
          <w:lang w:eastAsia="it-IT"/>
        </w:rPr>
        <w:t xml:space="preserve"> e che in prospettiva meriterebbe uno studio di approfondimento sui determinanti di area per questa neoplasia</w:t>
      </w:r>
      <w:r w:rsidRPr="006123B0">
        <w:rPr>
          <w:rFonts w:ascii="Arial" w:eastAsia="Times New Roman" w:hAnsi="Arial" w:cs="Arial"/>
          <w:color w:val="000000"/>
          <w:lang w:eastAsia="it-IT"/>
        </w:rPr>
        <w:t>.</w:t>
      </w:r>
    </w:p>
    <w:p w:rsidR="00B0015D" w:rsidRPr="006123B0" w:rsidRDefault="00B0015D" w:rsidP="003A239D">
      <w:pPr>
        <w:pStyle w:val="Nessunaspaziatura"/>
        <w:jc w:val="both"/>
        <w:rPr>
          <w:rFonts w:ascii="Arial" w:eastAsia="Times New Roman" w:hAnsi="Arial" w:cs="Arial"/>
          <w:color w:val="000000"/>
          <w:lang w:eastAsia="it-IT"/>
        </w:rPr>
      </w:pPr>
      <w:r w:rsidRPr="006123B0">
        <w:rPr>
          <w:rFonts w:ascii="Arial" w:eastAsia="Times New Roman" w:hAnsi="Arial" w:cs="Arial"/>
          <w:color w:val="000000"/>
          <w:lang w:eastAsia="it-IT"/>
        </w:rPr>
        <w:t xml:space="preserve">Tra i tumori del sistema emolinfopoietico, la differenza territoriale degna di maggior nota è la più elevata incidenza di </w:t>
      </w:r>
      <w:r w:rsidRPr="006123B0">
        <w:rPr>
          <w:rFonts w:ascii="Arial" w:eastAsia="Times New Roman" w:hAnsi="Arial" w:cs="Arial"/>
          <w:i/>
          <w:color w:val="000000"/>
          <w:lang w:eastAsia="it-IT"/>
        </w:rPr>
        <w:t>leucemie</w:t>
      </w:r>
      <w:r w:rsidRPr="006123B0">
        <w:rPr>
          <w:rFonts w:ascii="Arial" w:eastAsia="Times New Roman" w:hAnsi="Arial" w:cs="Arial"/>
          <w:color w:val="000000"/>
          <w:lang w:eastAsia="it-IT"/>
        </w:rPr>
        <w:t xml:space="preserve"> a Cremona, sempre nel confronto con gli altri due Distretti, sia nei maschi che nelle femmine, in cui si apprezza anche la significatività statistica.</w:t>
      </w:r>
    </w:p>
    <w:p w:rsidR="008A7B23" w:rsidRPr="006123B0" w:rsidRDefault="008A7B23" w:rsidP="00A54C79">
      <w:pPr>
        <w:rPr>
          <w:rFonts w:ascii="Arial" w:hAnsi="Arial" w:cs="Arial"/>
          <w:b/>
        </w:rPr>
      </w:pPr>
    </w:p>
    <w:tbl>
      <w:tblPr>
        <w:tblW w:w="1920" w:type="dxa"/>
        <w:tblInd w:w="55" w:type="dxa"/>
        <w:tblCellMar>
          <w:left w:w="70" w:type="dxa"/>
          <w:right w:w="70" w:type="dxa"/>
        </w:tblCellMar>
        <w:tblLook w:val="04A0" w:firstRow="1" w:lastRow="0" w:firstColumn="1" w:lastColumn="0" w:noHBand="0" w:noVBand="1"/>
      </w:tblPr>
      <w:tblGrid>
        <w:gridCol w:w="4941"/>
        <w:gridCol w:w="4782"/>
      </w:tblGrid>
      <w:tr w:rsidR="002F2C75" w:rsidRPr="006123B0" w:rsidTr="002F2C75">
        <w:trPr>
          <w:trHeight w:val="300"/>
        </w:trPr>
        <w:tc>
          <w:tcPr>
            <w:tcW w:w="960"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Pr="006123B0">
              <w:rPr>
                <w:rFonts w:ascii="Arial" w:hAnsi="Arial" w:cs="Arial"/>
                <w:noProof/>
                <w:lang w:eastAsia="it-IT"/>
              </w:rPr>
              <w:drawing>
                <wp:inline distT="0" distB="0" distL="0" distR="0" wp14:anchorId="616B991C" wp14:editId="77DDC293">
                  <wp:extent cx="3286125" cy="2200275"/>
                  <wp:effectExtent l="0" t="0" r="9525" b="9525"/>
                  <wp:docPr id="26" name="Gra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960"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117E87D4" wp14:editId="3E2D7E3F">
                  <wp:extent cx="3190875" cy="2190750"/>
                  <wp:effectExtent l="0" t="0" r="9525" b="19050"/>
                  <wp:docPr id="27" name="Gra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2F2C75" w:rsidRPr="006123B0" w:rsidTr="002F2C75">
        <w:trPr>
          <w:trHeight w:val="300"/>
        </w:trPr>
        <w:tc>
          <w:tcPr>
            <w:tcW w:w="960"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7251137F" wp14:editId="2B65DC75">
                  <wp:extent cx="3400425" cy="1895475"/>
                  <wp:effectExtent l="0" t="0" r="9525" b="9525"/>
                  <wp:docPr id="24" name="Gra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960"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7DC74EF0" wp14:editId="622C569B">
                  <wp:extent cx="3286125" cy="1933575"/>
                  <wp:effectExtent l="0" t="0" r="9525" b="9525"/>
                  <wp:docPr id="28" name="Gra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2F2C75" w:rsidRPr="006123B0" w:rsidRDefault="002F2C75" w:rsidP="00A54C79">
      <w:pPr>
        <w:rPr>
          <w:rFonts w:ascii="Arial" w:hAnsi="Arial" w:cs="Arial"/>
          <w:b/>
        </w:rPr>
      </w:pPr>
    </w:p>
    <w:p w:rsidR="009817D6" w:rsidRPr="006123B0" w:rsidRDefault="009817D6" w:rsidP="00A54C79">
      <w:pPr>
        <w:rPr>
          <w:rFonts w:ascii="Arial" w:hAnsi="Arial" w:cs="Arial"/>
          <w:b/>
        </w:rPr>
      </w:pPr>
    </w:p>
    <w:tbl>
      <w:tblPr>
        <w:tblW w:w="9723" w:type="dxa"/>
        <w:tblInd w:w="55" w:type="dxa"/>
        <w:tblCellMar>
          <w:left w:w="70" w:type="dxa"/>
          <w:right w:w="70" w:type="dxa"/>
        </w:tblCellMar>
        <w:tblLook w:val="04A0" w:firstRow="1" w:lastRow="0" w:firstColumn="1" w:lastColumn="0" w:noHBand="0" w:noVBand="1"/>
      </w:tblPr>
      <w:tblGrid>
        <w:gridCol w:w="4769"/>
        <w:gridCol w:w="4954"/>
      </w:tblGrid>
      <w:tr w:rsidR="002F2C75" w:rsidRPr="006123B0" w:rsidTr="006F7C40">
        <w:trPr>
          <w:trHeight w:val="300"/>
        </w:trPr>
        <w:tc>
          <w:tcPr>
            <w:tcW w:w="4769" w:type="dxa"/>
            <w:shd w:val="clear" w:color="auto" w:fill="auto"/>
            <w:noWrap/>
            <w:vAlign w:val="bottom"/>
            <w:hideMark/>
          </w:tcPr>
          <w:p w:rsidR="002F2C75" w:rsidRPr="006123B0" w:rsidRDefault="002F2C75" w:rsidP="002F2C75">
            <w:pPr>
              <w:spacing w:after="0" w:line="240" w:lineRule="auto"/>
              <w:rPr>
                <w:rFonts w:ascii="Arial" w:eastAsia="Times New Roman" w:hAnsi="Arial" w:cs="Arial"/>
                <w:i/>
                <w:color w:val="000000"/>
                <w:lang w:eastAsia="it-IT"/>
              </w:rPr>
            </w:pPr>
            <w:r w:rsidRPr="006123B0">
              <w:rPr>
                <w:rFonts w:ascii="Arial" w:eastAsia="Times New Roman" w:hAnsi="Arial" w:cs="Arial"/>
                <w:i/>
                <w:color w:val="000000"/>
                <w:lang w:eastAsia="it-IT"/>
              </w:rPr>
              <w:t> </w:t>
            </w:r>
            <w:r w:rsidR="00507936" w:rsidRPr="006123B0">
              <w:rPr>
                <w:rFonts w:ascii="Arial" w:hAnsi="Arial" w:cs="Arial"/>
                <w:i/>
                <w:noProof/>
                <w:lang w:eastAsia="it-IT"/>
              </w:rPr>
              <w:drawing>
                <wp:inline distT="0" distB="0" distL="0" distR="0" wp14:anchorId="102F22C4" wp14:editId="7B5577EA">
                  <wp:extent cx="3096883" cy="1992702"/>
                  <wp:effectExtent l="0" t="0" r="27940" b="26670"/>
                  <wp:docPr id="33" name="Gra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4954" w:type="dxa"/>
            <w:shd w:val="clear" w:color="auto" w:fill="auto"/>
            <w:noWrap/>
            <w:vAlign w:val="bottom"/>
            <w:hideMark/>
          </w:tcPr>
          <w:p w:rsidR="002F2C75" w:rsidRPr="006123B0" w:rsidRDefault="002F2C75" w:rsidP="002F2C75">
            <w:pPr>
              <w:spacing w:after="0" w:line="240" w:lineRule="auto"/>
              <w:rPr>
                <w:rFonts w:ascii="Arial" w:eastAsia="Times New Roman" w:hAnsi="Arial" w:cs="Arial"/>
                <w:i/>
                <w:color w:val="000000"/>
                <w:lang w:eastAsia="it-IT"/>
              </w:rPr>
            </w:pPr>
            <w:r w:rsidRPr="006123B0">
              <w:rPr>
                <w:rFonts w:ascii="Arial" w:eastAsia="Times New Roman" w:hAnsi="Arial" w:cs="Arial"/>
                <w:i/>
                <w:color w:val="000000"/>
                <w:lang w:eastAsia="it-IT"/>
              </w:rPr>
              <w:t> </w:t>
            </w:r>
            <w:r w:rsidRPr="006123B0">
              <w:rPr>
                <w:rFonts w:ascii="Arial" w:hAnsi="Arial" w:cs="Arial"/>
                <w:i/>
                <w:noProof/>
                <w:lang w:eastAsia="it-IT"/>
              </w:rPr>
              <w:drawing>
                <wp:inline distT="0" distB="0" distL="0" distR="0" wp14:anchorId="18E64D7D" wp14:editId="56376317">
                  <wp:extent cx="3105150" cy="1981200"/>
                  <wp:effectExtent l="0" t="0" r="19050" b="19050"/>
                  <wp:docPr id="29" name="Gra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F2C75" w:rsidRPr="006123B0" w:rsidTr="006F7C40">
        <w:trPr>
          <w:trHeight w:val="300"/>
        </w:trPr>
        <w:tc>
          <w:tcPr>
            <w:tcW w:w="4769" w:type="dxa"/>
            <w:shd w:val="clear" w:color="auto" w:fill="auto"/>
            <w:noWrap/>
            <w:vAlign w:val="bottom"/>
            <w:hideMark/>
          </w:tcPr>
          <w:p w:rsidR="00B30776"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p>
          <w:p w:rsidR="00B30776" w:rsidRPr="006123B0" w:rsidRDefault="00B30776" w:rsidP="002F2C75">
            <w:pPr>
              <w:spacing w:after="0" w:line="240" w:lineRule="auto"/>
              <w:rPr>
                <w:rFonts w:ascii="Arial" w:eastAsia="Times New Roman" w:hAnsi="Arial" w:cs="Arial"/>
                <w:color w:val="000000"/>
                <w:lang w:eastAsia="it-IT"/>
              </w:rPr>
            </w:pPr>
          </w:p>
          <w:p w:rsidR="002F2C75" w:rsidRPr="006123B0" w:rsidRDefault="00507936" w:rsidP="003A239D">
            <w:pPr>
              <w:spacing w:after="0" w:line="240" w:lineRule="auto"/>
              <w:rPr>
                <w:rFonts w:ascii="Arial" w:eastAsia="Times New Roman" w:hAnsi="Arial" w:cs="Arial"/>
                <w:color w:val="000000"/>
                <w:lang w:eastAsia="it-IT"/>
              </w:rPr>
            </w:pPr>
            <w:r w:rsidRPr="006123B0">
              <w:rPr>
                <w:rFonts w:ascii="Arial" w:hAnsi="Arial" w:cs="Arial"/>
                <w:noProof/>
                <w:lang w:eastAsia="it-IT"/>
              </w:rPr>
              <w:lastRenderedPageBreak/>
              <w:drawing>
                <wp:inline distT="0" distB="0" distL="0" distR="0" wp14:anchorId="25E1496A" wp14:editId="4ECA3C1A">
                  <wp:extent cx="3286664" cy="2087593"/>
                  <wp:effectExtent l="0" t="0" r="9525" b="27305"/>
                  <wp:docPr id="31" name="Gra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4954"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Pr="006123B0">
              <w:rPr>
                <w:rFonts w:ascii="Arial" w:hAnsi="Arial" w:cs="Arial"/>
                <w:noProof/>
                <w:lang w:eastAsia="it-IT"/>
              </w:rPr>
              <w:lastRenderedPageBreak/>
              <w:drawing>
                <wp:inline distT="0" distB="0" distL="0" distR="0" wp14:anchorId="3F708E0F" wp14:editId="5C069C68">
                  <wp:extent cx="3196424" cy="1987826"/>
                  <wp:effectExtent l="0" t="0" r="23495" b="12700"/>
                  <wp:docPr id="30" name="Gra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2F2C75" w:rsidRPr="006123B0" w:rsidTr="006F7C40">
        <w:trPr>
          <w:trHeight w:val="300"/>
        </w:trPr>
        <w:tc>
          <w:tcPr>
            <w:tcW w:w="4769"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00507936" w:rsidRPr="006123B0">
              <w:rPr>
                <w:rFonts w:ascii="Arial" w:hAnsi="Arial" w:cs="Arial"/>
                <w:noProof/>
                <w:lang w:eastAsia="it-IT"/>
              </w:rPr>
              <w:drawing>
                <wp:inline distT="0" distB="0" distL="0" distR="0" wp14:anchorId="04AB1C26" wp14:editId="33639388">
                  <wp:extent cx="3286664" cy="2035834"/>
                  <wp:effectExtent l="0" t="0" r="9525" b="21590"/>
                  <wp:docPr id="32" name="Gra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954"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8A7B23" w:rsidRPr="006123B0">
              <w:rPr>
                <w:rFonts w:ascii="Arial" w:hAnsi="Arial" w:cs="Arial"/>
                <w:noProof/>
                <w:lang w:eastAsia="it-IT"/>
              </w:rPr>
              <w:drawing>
                <wp:inline distT="0" distB="0" distL="0" distR="0" wp14:anchorId="0E1F84F4" wp14:editId="6A3C2F1F">
                  <wp:extent cx="2933700" cy="1933575"/>
                  <wp:effectExtent l="0" t="0" r="19050" b="9525"/>
                  <wp:docPr id="41" name="Gra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640C06" w:rsidRPr="006123B0" w:rsidTr="006F7C40">
        <w:trPr>
          <w:trHeight w:val="300"/>
        </w:trPr>
        <w:tc>
          <w:tcPr>
            <w:tcW w:w="4769" w:type="dxa"/>
            <w:shd w:val="clear" w:color="auto" w:fill="auto"/>
            <w:noWrap/>
            <w:vAlign w:val="bottom"/>
          </w:tcPr>
          <w:p w:rsidR="00640C06" w:rsidRPr="006123B0" w:rsidRDefault="00640C06"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3289E6FE" wp14:editId="6F6F6394">
                  <wp:extent cx="3286125" cy="1933575"/>
                  <wp:effectExtent l="0" t="0" r="9525" b="9525"/>
                  <wp:docPr id="42" name="Gra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954" w:type="dxa"/>
            <w:shd w:val="clear" w:color="auto" w:fill="auto"/>
            <w:noWrap/>
            <w:vAlign w:val="bottom"/>
          </w:tcPr>
          <w:p w:rsidR="00640C06" w:rsidRPr="006123B0" w:rsidRDefault="00640C06"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60BCBD56" wp14:editId="43B86B8D">
                  <wp:extent cx="3355675" cy="1975449"/>
                  <wp:effectExtent l="0" t="0" r="16510" b="25400"/>
                  <wp:docPr id="49" name="Gra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2F2C75" w:rsidRPr="006123B0" w:rsidTr="006F7C40">
        <w:trPr>
          <w:trHeight w:val="300"/>
        </w:trPr>
        <w:tc>
          <w:tcPr>
            <w:tcW w:w="4769"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640C06" w:rsidRPr="006123B0">
              <w:rPr>
                <w:rFonts w:ascii="Arial" w:hAnsi="Arial" w:cs="Arial"/>
                <w:noProof/>
                <w:lang w:eastAsia="it-IT"/>
              </w:rPr>
              <w:drawing>
                <wp:inline distT="0" distB="0" distL="0" distR="0" wp14:anchorId="13545F79" wp14:editId="26DF6685">
                  <wp:extent cx="3027871" cy="1932317"/>
                  <wp:effectExtent l="0" t="0" r="20320" b="10795"/>
                  <wp:docPr id="20" name="Gra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4954"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640C06" w:rsidRPr="006123B0">
              <w:rPr>
                <w:rFonts w:ascii="Arial" w:hAnsi="Arial" w:cs="Arial"/>
                <w:noProof/>
                <w:lang w:eastAsia="it-IT"/>
              </w:rPr>
              <w:drawing>
                <wp:inline distT="0" distB="0" distL="0" distR="0" wp14:anchorId="5E2920CD" wp14:editId="6ADC3D19">
                  <wp:extent cx="3409950" cy="1971675"/>
                  <wp:effectExtent l="0" t="0" r="19050" b="9525"/>
                  <wp:docPr id="21" name="Gra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8A7B23" w:rsidRPr="006123B0" w:rsidTr="003D29DB">
        <w:trPr>
          <w:trHeight w:val="300"/>
        </w:trPr>
        <w:tc>
          <w:tcPr>
            <w:tcW w:w="4769" w:type="dxa"/>
            <w:shd w:val="clear" w:color="auto" w:fill="auto"/>
            <w:noWrap/>
            <w:vAlign w:val="bottom"/>
          </w:tcPr>
          <w:p w:rsidR="008A7B23" w:rsidRPr="006123B0" w:rsidRDefault="008A7B23"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lastRenderedPageBreak/>
              <w:drawing>
                <wp:inline distT="0" distB="0" distL="0" distR="0" wp14:anchorId="7FD72B9C" wp14:editId="7CB10AF6">
                  <wp:extent cx="3286125" cy="1933575"/>
                  <wp:effectExtent l="0" t="0" r="9525" b="9525"/>
                  <wp:docPr id="38" name="Gra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954" w:type="dxa"/>
            <w:shd w:val="clear" w:color="auto" w:fill="auto"/>
            <w:noWrap/>
            <w:vAlign w:val="bottom"/>
          </w:tcPr>
          <w:p w:rsidR="008A7B23" w:rsidRPr="006123B0" w:rsidRDefault="003D29DB"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EFE72FC" wp14:editId="728DEB83">
                  <wp:extent cx="3226279" cy="1975449"/>
                  <wp:effectExtent l="0" t="0" r="12700" b="25400"/>
                  <wp:docPr id="45" name="Gra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640C06" w:rsidRPr="006123B0" w:rsidTr="00E21777">
        <w:trPr>
          <w:trHeight w:val="300"/>
        </w:trPr>
        <w:tc>
          <w:tcPr>
            <w:tcW w:w="4769" w:type="dxa"/>
            <w:shd w:val="clear" w:color="auto" w:fill="auto"/>
            <w:noWrap/>
            <w:vAlign w:val="bottom"/>
          </w:tcPr>
          <w:p w:rsidR="00640C06" w:rsidRPr="006123B0" w:rsidRDefault="00640C06" w:rsidP="002F2C75">
            <w:pPr>
              <w:spacing w:after="0" w:line="240" w:lineRule="auto"/>
              <w:rPr>
                <w:rFonts w:ascii="Arial" w:hAnsi="Arial" w:cs="Arial"/>
                <w:noProof/>
                <w:lang w:eastAsia="it-IT"/>
              </w:rPr>
            </w:pPr>
            <w:r w:rsidRPr="006123B0">
              <w:rPr>
                <w:rFonts w:ascii="Arial" w:hAnsi="Arial" w:cs="Arial"/>
                <w:noProof/>
                <w:lang w:eastAsia="it-IT"/>
              </w:rPr>
              <w:drawing>
                <wp:inline distT="0" distB="0" distL="0" distR="0" wp14:anchorId="16B14800" wp14:editId="2A23F388">
                  <wp:extent cx="3286125" cy="1933575"/>
                  <wp:effectExtent l="0" t="0" r="9525" b="9525"/>
                  <wp:docPr id="17" name="Gra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4954" w:type="dxa"/>
            <w:shd w:val="clear" w:color="auto" w:fill="auto"/>
            <w:noWrap/>
            <w:vAlign w:val="bottom"/>
          </w:tcPr>
          <w:p w:rsidR="00640C06" w:rsidRPr="006123B0" w:rsidRDefault="00640C06"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4E1A1EB" wp14:editId="7F0D88BD">
                  <wp:extent cx="3105150" cy="1933575"/>
                  <wp:effectExtent l="0" t="0" r="19050" b="9525"/>
                  <wp:docPr id="18" name="Gra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2F2C75" w:rsidRPr="006123B0" w:rsidTr="00E21777">
        <w:trPr>
          <w:trHeight w:val="300"/>
        </w:trPr>
        <w:tc>
          <w:tcPr>
            <w:tcW w:w="4769" w:type="dxa"/>
            <w:shd w:val="clear" w:color="auto" w:fill="auto"/>
            <w:noWrap/>
            <w:vAlign w:val="bottom"/>
            <w:hideMark/>
          </w:tcPr>
          <w:p w:rsidR="002F2C75" w:rsidRPr="006123B0" w:rsidRDefault="008A7B23"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AEAF2BF" wp14:editId="126F409D">
                  <wp:extent cx="3286664" cy="2182483"/>
                  <wp:effectExtent l="0" t="0" r="9525" b="27940"/>
                  <wp:docPr id="39" name="Gra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4954" w:type="dxa"/>
            <w:shd w:val="clear" w:color="auto" w:fill="auto"/>
            <w:noWrap/>
            <w:vAlign w:val="bottom"/>
            <w:hideMark/>
          </w:tcPr>
          <w:p w:rsidR="002F2C75" w:rsidRPr="006123B0" w:rsidRDefault="002F2C75" w:rsidP="002F2C75">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E21777" w:rsidRPr="006123B0">
              <w:rPr>
                <w:rFonts w:ascii="Arial" w:hAnsi="Arial" w:cs="Arial"/>
                <w:noProof/>
                <w:lang w:eastAsia="it-IT"/>
              </w:rPr>
              <w:drawing>
                <wp:inline distT="0" distB="0" distL="0" distR="0" wp14:anchorId="510E757D" wp14:editId="32BE2DED">
                  <wp:extent cx="3416061" cy="2053087"/>
                  <wp:effectExtent l="0" t="0" r="13335" b="23495"/>
                  <wp:docPr id="47" name="Gra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7145F8" w:rsidRPr="006123B0" w:rsidTr="006F7C40">
        <w:trPr>
          <w:trHeight w:val="300"/>
        </w:trPr>
        <w:tc>
          <w:tcPr>
            <w:tcW w:w="4769" w:type="dxa"/>
            <w:shd w:val="clear" w:color="auto" w:fill="auto"/>
            <w:noWrap/>
            <w:vAlign w:val="bottom"/>
          </w:tcPr>
          <w:p w:rsidR="007145F8" w:rsidRPr="006123B0" w:rsidRDefault="007145F8" w:rsidP="002F2C75">
            <w:pPr>
              <w:spacing w:after="0" w:line="240" w:lineRule="auto"/>
              <w:rPr>
                <w:rFonts w:ascii="Arial" w:hAnsi="Arial" w:cs="Arial"/>
                <w:noProof/>
                <w:lang w:eastAsia="it-IT"/>
              </w:rPr>
            </w:pPr>
            <w:r w:rsidRPr="006123B0">
              <w:rPr>
                <w:rFonts w:ascii="Arial" w:hAnsi="Arial" w:cs="Arial"/>
                <w:noProof/>
                <w:lang w:eastAsia="it-IT"/>
              </w:rPr>
              <w:drawing>
                <wp:inline distT="0" distB="0" distL="0" distR="0" wp14:anchorId="468E5433" wp14:editId="5D40F3FB">
                  <wp:extent cx="3009900" cy="1847850"/>
                  <wp:effectExtent l="0" t="0" r="19050" b="19050"/>
                  <wp:docPr id="52" name="Gra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954" w:type="dxa"/>
            <w:shd w:val="clear" w:color="auto" w:fill="auto"/>
            <w:noWrap/>
            <w:vAlign w:val="bottom"/>
          </w:tcPr>
          <w:p w:rsidR="007145F8" w:rsidRPr="006123B0" w:rsidRDefault="007145F8" w:rsidP="002F2C75">
            <w:pPr>
              <w:spacing w:after="0" w:line="240" w:lineRule="auto"/>
              <w:rPr>
                <w:rFonts w:ascii="Arial" w:hAnsi="Arial" w:cs="Arial"/>
                <w:noProof/>
                <w:lang w:eastAsia="it-IT"/>
              </w:rPr>
            </w:pPr>
            <w:r w:rsidRPr="006123B0">
              <w:rPr>
                <w:rFonts w:ascii="Arial" w:hAnsi="Arial" w:cs="Arial"/>
                <w:noProof/>
                <w:lang w:eastAsia="it-IT"/>
              </w:rPr>
              <w:drawing>
                <wp:inline distT="0" distB="0" distL="0" distR="0" wp14:anchorId="31CE143C" wp14:editId="49EB1A36">
                  <wp:extent cx="3228975" cy="1847850"/>
                  <wp:effectExtent l="0" t="0" r="9525" b="19050"/>
                  <wp:docPr id="55" name="Gra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757AFC" w:rsidRPr="006123B0" w:rsidTr="006F7C40">
        <w:trPr>
          <w:trHeight w:val="300"/>
        </w:trPr>
        <w:tc>
          <w:tcPr>
            <w:tcW w:w="4769" w:type="dxa"/>
            <w:shd w:val="clear" w:color="auto" w:fill="auto"/>
            <w:noWrap/>
            <w:vAlign w:val="bottom"/>
          </w:tcPr>
          <w:p w:rsidR="00757AFC" w:rsidRPr="006123B0" w:rsidRDefault="00757AFC"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lastRenderedPageBreak/>
              <w:drawing>
                <wp:inline distT="0" distB="0" distL="0" distR="0" wp14:anchorId="1F02118E" wp14:editId="2D6824B1">
                  <wp:extent cx="3157267" cy="1932317"/>
                  <wp:effectExtent l="0" t="0" r="24130" b="10795"/>
                  <wp:docPr id="4" name="Gra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4954" w:type="dxa"/>
            <w:shd w:val="clear" w:color="auto" w:fill="auto"/>
            <w:noWrap/>
            <w:vAlign w:val="bottom"/>
          </w:tcPr>
          <w:p w:rsidR="00757AFC" w:rsidRPr="006123B0" w:rsidRDefault="0074408C"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0F54654F" wp14:editId="33BF345C">
                  <wp:extent cx="3303917" cy="1923691"/>
                  <wp:effectExtent l="0" t="0" r="10795" b="19685"/>
                  <wp:docPr id="23" name="Gra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177F9E" w:rsidRPr="006123B0" w:rsidTr="006F7C40">
        <w:trPr>
          <w:trHeight w:val="300"/>
        </w:trPr>
        <w:tc>
          <w:tcPr>
            <w:tcW w:w="4769" w:type="dxa"/>
            <w:shd w:val="clear" w:color="auto" w:fill="auto"/>
            <w:noWrap/>
            <w:vAlign w:val="bottom"/>
          </w:tcPr>
          <w:p w:rsidR="00177F9E" w:rsidRPr="006123B0" w:rsidRDefault="00177F9E"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9362AEF" wp14:editId="1E19E120">
                  <wp:extent cx="3010618" cy="1932317"/>
                  <wp:effectExtent l="0" t="0" r="18415" b="10795"/>
                  <wp:docPr id="5" name="Gra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4954" w:type="dxa"/>
            <w:shd w:val="clear" w:color="auto" w:fill="auto"/>
            <w:noWrap/>
            <w:vAlign w:val="bottom"/>
          </w:tcPr>
          <w:p w:rsidR="00177F9E" w:rsidRPr="006123B0" w:rsidRDefault="006F7C40"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61DE5B58" wp14:editId="2A632D31">
                  <wp:extent cx="3355676" cy="1975450"/>
                  <wp:effectExtent l="0" t="0" r="16510" b="25400"/>
                  <wp:docPr id="44" name="Gra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177F9E" w:rsidRPr="006123B0" w:rsidTr="006F7C40">
        <w:trPr>
          <w:trHeight w:val="300"/>
        </w:trPr>
        <w:tc>
          <w:tcPr>
            <w:tcW w:w="4769" w:type="dxa"/>
            <w:shd w:val="clear" w:color="auto" w:fill="auto"/>
            <w:noWrap/>
            <w:vAlign w:val="bottom"/>
          </w:tcPr>
          <w:p w:rsidR="00177F9E" w:rsidRPr="006123B0" w:rsidRDefault="00177F9E"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0E7BAD10" wp14:editId="39AB0732">
                  <wp:extent cx="3010618" cy="1932317"/>
                  <wp:effectExtent l="0" t="0" r="18415" b="10795"/>
                  <wp:docPr id="7" name="Gra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954" w:type="dxa"/>
            <w:shd w:val="clear" w:color="auto" w:fill="auto"/>
            <w:noWrap/>
            <w:vAlign w:val="bottom"/>
          </w:tcPr>
          <w:p w:rsidR="00177F9E" w:rsidRPr="006123B0" w:rsidRDefault="0074408C" w:rsidP="002F2C75">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713FCE78" wp14:editId="37E0D279">
                  <wp:extent cx="3226279" cy="1975449"/>
                  <wp:effectExtent l="0" t="0" r="12700" b="25400"/>
                  <wp:docPr id="25" name="Gra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78714C" w:rsidRPr="006123B0" w:rsidRDefault="0078714C" w:rsidP="00A54C79">
      <w:pPr>
        <w:rPr>
          <w:rFonts w:ascii="Arial" w:hAnsi="Arial" w:cs="Arial"/>
          <w:b/>
        </w:rPr>
      </w:pPr>
    </w:p>
    <w:p w:rsidR="00A52544" w:rsidRPr="006123B0" w:rsidRDefault="00D02400" w:rsidP="004F618B">
      <w:pPr>
        <w:pStyle w:val="Nessunaspaziatura"/>
        <w:jc w:val="both"/>
        <w:rPr>
          <w:rFonts w:ascii="Arial" w:hAnsi="Arial" w:cs="Arial"/>
          <w:b/>
        </w:rPr>
      </w:pPr>
      <w:r w:rsidRPr="006123B0">
        <w:rPr>
          <w:rFonts w:ascii="Arial" w:hAnsi="Arial" w:cs="Arial"/>
          <w:b/>
        </w:rPr>
        <w:t>La Patologia Cardio-c</w:t>
      </w:r>
      <w:r w:rsidR="0078714C" w:rsidRPr="006123B0">
        <w:rPr>
          <w:rFonts w:ascii="Arial" w:hAnsi="Arial" w:cs="Arial"/>
          <w:b/>
        </w:rPr>
        <w:t>ircolatoria</w:t>
      </w:r>
    </w:p>
    <w:p w:rsidR="00D02400" w:rsidRPr="006123B0" w:rsidRDefault="00D02400" w:rsidP="004F618B">
      <w:pPr>
        <w:pStyle w:val="Nessunaspaziatura"/>
        <w:jc w:val="both"/>
        <w:rPr>
          <w:rFonts w:ascii="Arial" w:hAnsi="Arial" w:cs="Arial"/>
        </w:rPr>
      </w:pPr>
      <w:r w:rsidRPr="006123B0">
        <w:rPr>
          <w:rFonts w:ascii="Arial" w:hAnsi="Arial" w:cs="Arial"/>
        </w:rPr>
        <w:t xml:space="preserve">La mortalità è più elevata a Mantova sia nei maschi che nelle femmine, cui non fa riscontro una maggiore ospedalizzazione. Interessante sarà capire come si comporta l’offerta sanitaria territoriale, anche in considerazione del fatto che la prevalenza di questo </w:t>
      </w:r>
      <w:r w:rsidRPr="006123B0">
        <w:rPr>
          <w:rFonts w:ascii="Arial" w:hAnsi="Arial" w:cs="Arial"/>
          <w:i/>
        </w:rPr>
        <w:t>grande gruppo</w:t>
      </w:r>
      <w:r w:rsidRPr="006123B0">
        <w:rPr>
          <w:rFonts w:ascii="Arial" w:hAnsi="Arial" w:cs="Arial"/>
        </w:rPr>
        <w:t xml:space="preserve"> di patologie a Mantova è statisticamente significativa in eccesso.</w:t>
      </w:r>
    </w:p>
    <w:p w:rsidR="00D02400" w:rsidRPr="006123B0" w:rsidRDefault="00D02400" w:rsidP="004F618B">
      <w:pPr>
        <w:pStyle w:val="Nessunaspaziatura"/>
        <w:jc w:val="both"/>
        <w:rPr>
          <w:rFonts w:ascii="Arial" w:hAnsi="Arial" w:cs="Arial"/>
        </w:rPr>
      </w:pPr>
      <w:r w:rsidRPr="006123B0">
        <w:rPr>
          <w:rFonts w:ascii="Arial" w:hAnsi="Arial" w:cs="Arial"/>
        </w:rPr>
        <w:t xml:space="preserve">Scendendo nel dettaglio, la mortalità per </w:t>
      </w:r>
      <w:r w:rsidRPr="006123B0">
        <w:rPr>
          <w:rFonts w:ascii="Arial" w:hAnsi="Arial" w:cs="Arial"/>
          <w:i/>
        </w:rPr>
        <w:t>infarto</w:t>
      </w:r>
      <w:r w:rsidRPr="006123B0">
        <w:rPr>
          <w:rFonts w:ascii="Arial" w:hAnsi="Arial" w:cs="Arial"/>
        </w:rPr>
        <w:t xml:space="preserve"> </w:t>
      </w:r>
      <w:r w:rsidR="004F618B" w:rsidRPr="006123B0">
        <w:rPr>
          <w:rFonts w:ascii="Arial" w:hAnsi="Arial" w:cs="Arial"/>
        </w:rPr>
        <w:t>è maggiore a Crema in entrambi i sessi rispetto a Mantova. Mediana la posizione di Cremona.</w:t>
      </w:r>
    </w:p>
    <w:p w:rsidR="004F618B" w:rsidRPr="006123B0" w:rsidRDefault="004F618B" w:rsidP="004F618B">
      <w:pPr>
        <w:pStyle w:val="Nessunaspaziatura"/>
        <w:rPr>
          <w:rFonts w:ascii="Arial" w:hAnsi="Arial" w:cs="Arial"/>
        </w:rPr>
      </w:pPr>
    </w:p>
    <w:p w:rsidR="004F618B" w:rsidRPr="006123B0" w:rsidRDefault="004F618B" w:rsidP="004F618B">
      <w:pPr>
        <w:pStyle w:val="Nessunaspaziatura"/>
        <w:rPr>
          <w:rFonts w:ascii="Arial" w:hAnsi="Arial" w:cs="Arial"/>
          <w:b/>
        </w:rPr>
      </w:pPr>
      <w:r w:rsidRPr="006123B0">
        <w:rPr>
          <w:rFonts w:ascii="Arial" w:hAnsi="Arial" w:cs="Arial"/>
          <w:b/>
        </w:rPr>
        <w:t xml:space="preserve">Patologie correlate </w:t>
      </w:r>
    </w:p>
    <w:p w:rsidR="004F618B" w:rsidRPr="006123B0" w:rsidRDefault="004F618B" w:rsidP="00A32A83">
      <w:pPr>
        <w:pStyle w:val="Nessunaspaziatura"/>
        <w:jc w:val="both"/>
        <w:rPr>
          <w:rFonts w:ascii="Arial" w:hAnsi="Arial" w:cs="Arial"/>
        </w:rPr>
      </w:pPr>
      <w:r w:rsidRPr="006123B0">
        <w:rPr>
          <w:rFonts w:ascii="Arial" w:hAnsi="Arial" w:cs="Arial"/>
          <w:i/>
        </w:rPr>
        <w:t>Diabete</w:t>
      </w:r>
      <w:r w:rsidRPr="006123B0">
        <w:rPr>
          <w:rFonts w:ascii="Arial" w:hAnsi="Arial" w:cs="Arial"/>
        </w:rPr>
        <w:t xml:space="preserve"> e </w:t>
      </w:r>
      <w:r w:rsidRPr="006123B0">
        <w:rPr>
          <w:rFonts w:ascii="Arial" w:hAnsi="Arial" w:cs="Arial"/>
          <w:i/>
        </w:rPr>
        <w:t>insufficienza renale</w:t>
      </w:r>
      <w:r w:rsidRPr="006123B0">
        <w:rPr>
          <w:rFonts w:ascii="Arial" w:hAnsi="Arial" w:cs="Arial"/>
        </w:rPr>
        <w:t xml:space="preserve"> sono nettamente più frequenti a Mantova dove raggiungono anch</w:t>
      </w:r>
      <w:r w:rsidR="005B69A3" w:rsidRPr="006123B0">
        <w:rPr>
          <w:rFonts w:ascii="Arial" w:hAnsi="Arial" w:cs="Arial"/>
        </w:rPr>
        <w:t>e la significatività statistica e verosimilmente si pongono rispettivamente come causa ed effetto del grande gruppo di patologia cardio-circolatoria.</w:t>
      </w:r>
    </w:p>
    <w:p w:rsidR="00A32A83" w:rsidRPr="006123B0" w:rsidRDefault="00A32A83" w:rsidP="004F618B">
      <w:pPr>
        <w:pStyle w:val="Nessunaspaziatura"/>
        <w:jc w:val="both"/>
        <w:rPr>
          <w:rFonts w:ascii="Arial" w:hAnsi="Arial" w:cs="Arial"/>
          <w:b/>
        </w:rPr>
      </w:pPr>
    </w:p>
    <w:p w:rsidR="004F618B" w:rsidRPr="006123B0" w:rsidRDefault="004F618B" w:rsidP="004F618B">
      <w:pPr>
        <w:pStyle w:val="Nessunaspaziatura"/>
        <w:jc w:val="both"/>
        <w:rPr>
          <w:rFonts w:ascii="Arial" w:hAnsi="Arial" w:cs="Arial"/>
          <w:b/>
        </w:rPr>
      </w:pPr>
      <w:r w:rsidRPr="006123B0">
        <w:rPr>
          <w:rFonts w:ascii="Arial" w:hAnsi="Arial" w:cs="Arial"/>
          <w:b/>
        </w:rPr>
        <w:t xml:space="preserve">Altre Patologie </w:t>
      </w:r>
    </w:p>
    <w:p w:rsidR="00A52544" w:rsidRPr="004131C9" w:rsidRDefault="004F618B" w:rsidP="004131C9">
      <w:pPr>
        <w:pStyle w:val="Nessunaspaziatura"/>
        <w:jc w:val="both"/>
        <w:rPr>
          <w:rFonts w:ascii="Arial" w:hAnsi="Arial" w:cs="Arial"/>
        </w:rPr>
      </w:pPr>
      <w:r w:rsidRPr="006123B0">
        <w:rPr>
          <w:rFonts w:ascii="Arial" w:hAnsi="Arial" w:cs="Arial"/>
          <w:i/>
        </w:rPr>
        <w:t>Malattie endocr</w:t>
      </w:r>
      <w:r w:rsidR="00475D03" w:rsidRPr="006123B0">
        <w:rPr>
          <w:rFonts w:ascii="Arial" w:hAnsi="Arial" w:cs="Arial"/>
          <w:i/>
        </w:rPr>
        <w:t>in</w:t>
      </w:r>
      <w:r w:rsidRPr="006123B0">
        <w:rPr>
          <w:rFonts w:ascii="Arial" w:hAnsi="Arial" w:cs="Arial"/>
          <w:i/>
        </w:rPr>
        <w:t>e</w:t>
      </w:r>
      <w:r w:rsidRPr="006123B0">
        <w:rPr>
          <w:rFonts w:ascii="Arial" w:hAnsi="Arial" w:cs="Arial"/>
        </w:rPr>
        <w:t xml:space="preserve"> e </w:t>
      </w:r>
      <w:r w:rsidRPr="006123B0">
        <w:rPr>
          <w:rFonts w:ascii="Arial" w:hAnsi="Arial" w:cs="Arial"/>
          <w:i/>
        </w:rPr>
        <w:t>malattie autoimmuni</w:t>
      </w:r>
      <w:r w:rsidRPr="006123B0">
        <w:rPr>
          <w:rFonts w:ascii="Arial" w:hAnsi="Arial" w:cs="Arial"/>
        </w:rPr>
        <w:t xml:space="preserve"> sono più frequenti a Mantova in entrambi i sessi e con significatività statistiche.</w:t>
      </w:r>
      <w:r w:rsidR="00475D03" w:rsidRPr="006123B0">
        <w:rPr>
          <w:rFonts w:ascii="Arial" w:hAnsi="Arial" w:cs="Arial"/>
        </w:rPr>
        <w:t xml:space="preserve"> </w:t>
      </w:r>
      <w:r w:rsidR="00807164" w:rsidRPr="006123B0">
        <w:rPr>
          <w:rFonts w:ascii="Arial" w:hAnsi="Arial" w:cs="Arial"/>
        </w:rPr>
        <w:t xml:space="preserve">Osservando che la componente principale delle malattie endocrine è fornita dalla patologia tiroidea, appare suggestivo il collegamento con l’equivalente rischio </w:t>
      </w:r>
      <w:r w:rsidR="00807164" w:rsidRPr="006123B0">
        <w:rPr>
          <w:rFonts w:ascii="Arial" w:hAnsi="Arial" w:cs="Arial"/>
        </w:rPr>
        <w:lastRenderedPageBreak/>
        <w:t xml:space="preserve">neoplastico per lo stesso organo. </w:t>
      </w:r>
      <w:r w:rsidR="004E4FFF" w:rsidRPr="006123B0">
        <w:rPr>
          <w:rFonts w:ascii="Arial" w:hAnsi="Arial" w:cs="Arial"/>
        </w:rPr>
        <w:t>Sono infatti in corso studi a livello nazionale sul ruolo dei distruttori endocrini.</w:t>
      </w:r>
    </w:p>
    <w:tbl>
      <w:tblPr>
        <w:tblW w:w="9723" w:type="dxa"/>
        <w:tblInd w:w="55" w:type="dxa"/>
        <w:tblCellMar>
          <w:left w:w="70" w:type="dxa"/>
          <w:right w:w="70" w:type="dxa"/>
        </w:tblCellMar>
        <w:tblLook w:val="04A0" w:firstRow="1" w:lastRow="0" w:firstColumn="1" w:lastColumn="0" w:noHBand="0" w:noVBand="1"/>
      </w:tblPr>
      <w:tblGrid>
        <w:gridCol w:w="4916"/>
        <w:gridCol w:w="4807"/>
      </w:tblGrid>
      <w:tr w:rsidR="00A96DC3" w:rsidRPr="006123B0" w:rsidTr="007A67FD">
        <w:trPr>
          <w:trHeight w:val="375"/>
        </w:trPr>
        <w:tc>
          <w:tcPr>
            <w:tcW w:w="4916"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416B1CAC" wp14:editId="4537B9AB">
                  <wp:extent cx="3200400" cy="1975449"/>
                  <wp:effectExtent l="0" t="0" r="19050" b="25400"/>
                  <wp:docPr id="95" name="Grafico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807"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b/>
                <w:noProof/>
                <w:lang w:eastAsia="it-IT"/>
              </w:rPr>
              <w:drawing>
                <wp:inline distT="0" distB="0" distL="0" distR="0" wp14:anchorId="05DA9E08" wp14:editId="2EED4245">
                  <wp:extent cx="3209026" cy="1975450"/>
                  <wp:effectExtent l="0" t="0" r="10795" b="25400"/>
                  <wp:docPr id="93" name="Grafico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A96DC3" w:rsidRPr="006123B0" w:rsidTr="007A67FD">
        <w:trPr>
          <w:trHeight w:val="375"/>
        </w:trPr>
        <w:tc>
          <w:tcPr>
            <w:tcW w:w="4916"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5F140EBB" wp14:editId="1F860895">
                  <wp:extent cx="3286125" cy="1933575"/>
                  <wp:effectExtent l="0" t="0" r="9525" b="9525"/>
                  <wp:docPr id="94" name="Grafico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4807"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p>
        </w:tc>
      </w:tr>
      <w:tr w:rsidR="00A96DC3" w:rsidRPr="006123B0" w:rsidTr="007A67FD">
        <w:trPr>
          <w:trHeight w:val="375"/>
        </w:trPr>
        <w:tc>
          <w:tcPr>
            <w:tcW w:w="4916"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741A10" w:rsidRPr="006123B0">
              <w:rPr>
                <w:rFonts w:ascii="Arial" w:hAnsi="Arial" w:cs="Arial"/>
                <w:noProof/>
                <w:lang w:eastAsia="it-IT"/>
              </w:rPr>
              <w:drawing>
                <wp:inline distT="0" distB="0" distL="0" distR="0" wp14:anchorId="7403FE23" wp14:editId="583985E4">
                  <wp:extent cx="2714625" cy="1990725"/>
                  <wp:effectExtent l="0" t="0" r="9525" b="9525"/>
                  <wp:docPr id="99" name="Gra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c>
          <w:tcPr>
            <w:tcW w:w="4807" w:type="dxa"/>
            <w:shd w:val="clear" w:color="auto" w:fill="auto"/>
            <w:noWrap/>
            <w:vAlign w:val="bottom"/>
            <w:hideMark/>
          </w:tcPr>
          <w:p w:rsidR="00A96DC3" w:rsidRPr="006123B0" w:rsidRDefault="00A96DC3" w:rsidP="00A96DC3">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741A10" w:rsidRPr="006123B0">
              <w:rPr>
                <w:rFonts w:ascii="Arial" w:hAnsi="Arial" w:cs="Arial"/>
                <w:noProof/>
                <w:lang w:eastAsia="it-IT"/>
              </w:rPr>
              <w:drawing>
                <wp:inline distT="0" distB="0" distL="0" distR="0" wp14:anchorId="31D25B5D" wp14:editId="6E07C8F6">
                  <wp:extent cx="3053301" cy="1987826"/>
                  <wp:effectExtent l="0" t="0" r="13970" b="12700"/>
                  <wp:docPr id="96" name="Grafico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464F21" w:rsidRPr="006123B0" w:rsidRDefault="00464F21" w:rsidP="00A54C79">
      <w:pPr>
        <w:rPr>
          <w:rFonts w:ascii="Arial" w:hAnsi="Arial" w:cs="Arial"/>
        </w:rPr>
      </w:pPr>
    </w:p>
    <w:tbl>
      <w:tblPr>
        <w:tblW w:w="9723" w:type="dxa"/>
        <w:tblInd w:w="55" w:type="dxa"/>
        <w:tblCellMar>
          <w:left w:w="70" w:type="dxa"/>
          <w:right w:w="70" w:type="dxa"/>
        </w:tblCellMar>
        <w:tblLook w:val="04A0" w:firstRow="1" w:lastRow="0" w:firstColumn="1" w:lastColumn="0" w:noHBand="0" w:noVBand="1"/>
      </w:tblPr>
      <w:tblGrid>
        <w:gridCol w:w="4861"/>
        <w:gridCol w:w="4862"/>
      </w:tblGrid>
      <w:tr w:rsidR="00464F21" w:rsidRPr="006123B0" w:rsidTr="003F66E4">
        <w:trPr>
          <w:trHeight w:val="375"/>
        </w:trPr>
        <w:tc>
          <w:tcPr>
            <w:tcW w:w="4861" w:type="dxa"/>
            <w:shd w:val="clear" w:color="auto" w:fill="auto"/>
            <w:noWrap/>
            <w:vAlign w:val="bottom"/>
            <w:hideMark/>
          </w:tcPr>
          <w:p w:rsidR="00464F21" w:rsidRPr="006123B0" w:rsidRDefault="00464F21" w:rsidP="00464F21">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lastRenderedPageBreak/>
              <w:drawing>
                <wp:inline distT="0" distB="0" distL="0" distR="0" wp14:anchorId="524A06DD" wp14:editId="7CF623DF">
                  <wp:extent cx="3286125" cy="1933575"/>
                  <wp:effectExtent l="0" t="0" r="9525" b="9525"/>
                  <wp:docPr id="108" name="Grafico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c>
          <w:tcPr>
            <w:tcW w:w="4862" w:type="dxa"/>
            <w:shd w:val="clear" w:color="auto" w:fill="auto"/>
            <w:noWrap/>
            <w:vAlign w:val="bottom"/>
            <w:hideMark/>
          </w:tcPr>
          <w:p w:rsidR="00464F21" w:rsidRPr="006123B0" w:rsidRDefault="00464F21" w:rsidP="00464F21">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Pr="006123B0">
              <w:rPr>
                <w:rFonts w:ascii="Arial" w:hAnsi="Arial" w:cs="Arial"/>
                <w:noProof/>
                <w:lang w:eastAsia="it-IT"/>
              </w:rPr>
              <w:lastRenderedPageBreak/>
              <w:drawing>
                <wp:inline distT="0" distB="0" distL="0" distR="0" wp14:anchorId="09CB2F2E" wp14:editId="52DDB347">
                  <wp:extent cx="3286125" cy="1933575"/>
                  <wp:effectExtent l="0" t="0" r="9525" b="9525"/>
                  <wp:docPr id="109" name="Grafico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464F21" w:rsidRPr="006123B0" w:rsidTr="003F66E4">
        <w:trPr>
          <w:trHeight w:val="375"/>
        </w:trPr>
        <w:tc>
          <w:tcPr>
            <w:tcW w:w="4861" w:type="dxa"/>
            <w:shd w:val="clear" w:color="auto" w:fill="auto"/>
            <w:noWrap/>
            <w:vAlign w:val="bottom"/>
            <w:hideMark/>
          </w:tcPr>
          <w:p w:rsidR="00464F21" w:rsidRPr="006123B0" w:rsidRDefault="00464F21" w:rsidP="00464F21">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Pr="006123B0">
              <w:rPr>
                <w:rFonts w:ascii="Arial" w:hAnsi="Arial" w:cs="Arial"/>
                <w:noProof/>
                <w:lang w:eastAsia="it-IT"/>
              </w:rPr>
              <w:drawing>
                <wp:inline distT="0" distB="0" distL="0" distR="0" wp14:anchorId="1E339425" wp14:editId="3BC711C1">
                  <wp:extent cx="3286125" cy="1933575"/>
                  <wp:effectExtent l="0" t="0" r="9525" b="9525"/>
                  <wp:docPr id="110" name="Grafico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c>
          <w:tcPr>
            <w:tcW w:w="4862" w:type="dxa"/>
            <w:shd w:val="clear" w:color="auto" w:fill="auto"/>
            <w:noWrap/>
            <w:vAlign w:val="bottom"/>
            <w:hideMark/>
          </w:tcPr>
          <w:p w:rsidR="00464F21" w:rsidRPr="006123B0" w:rsidRDefault="00464F21" w:rsidP="00464F21">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5F00E96F" wp14:editId="41083CBD">
                  <wp:extent cx="3286125" cy="1933575"/>
                  <wp:effectExtent l="0" t="0" r="9525" b="9525"/>
                  <wp:docPr id="111" name="Grafico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7A67FD" w:rsidRDefault="007A67FD" w:rsidP="00A32A83">
      <w:pPr>
        <w:pStyle w:val="Nessunaspaziatura"/>
        <w:jc w:val="both"/>
        <w:rPr>
          <w:rFonts w:ascii="Arial" w:hAnsi="Arial" w:cs="Arial"/>
          <w:b/>
        </w:rPr>
      </w:pPr>
    </w:p>
    <w:p w:rsidR="004D492F" w:rsidRPr="006123B0" w:rsidRDefault="00A32A83" w:rsidP="00A32A83">
      <w:pPr>
        <w:pStyle w:val="Nessunaspaziatura"/>
        <w:jc w:val="both"/>
        <w:rPr>
          <w:rFonts w:ascii="Arial" w:hAnsi="Arial" w:cs="Arial"/>
          <w:b/>
        </w:rPr>
      </w:pPr>
      <w:r w:rsidRPr="006123B0">
        <w:rPr>
          <w:rFonts w:ascii="Arial" w:hAnsi="Arial" w:cs="Arial"/>
          <w:b/>
        </w:rPr>
        <w:t xml:space="preserve">La </w:t>
      </w:r>
      <w:r w:rsidR="0078714C" w:rsidRPr="006123B0">
        <w:rPr>
          <w:rFonts w:ascii="Arial" w:hAnsi="Arial" w:cs="Arial"/>
          <w:b/>
        </w:rPr>
        <w:t>Patologia Respiratoria</w:t>
      </w:r>
    </w:p>
    <w:p w:rsidR="00A32A83" w:rsidRPr="006123B0" w:rsidRDefault="00A32A83" w:rsidP="00A32A83">
      <w:pPr>
        <w:pStyle w:val="Nessunaspaziatura"/>
        <w:jc w:val="both"/>
        <w:rPr>
          <w:rFonts w:ascii="Arial" w:hAnsi="Arial" w:cs="Arial"/>
          <w:b/>
        </w:rPr>
      </w:pPr>
    </w:p>
    <w:p w:rsidR="00A32A83" w:rsidRPr="006123B0" w:rsidRDefault="00A32A83" w:rsidP="00A32A83">
      <w:pPr>
        <w:pStyle w:val="Nessunaspaziatura"/>
        <w:jc w:val="both"/>
        <w:rPr>
          <w:rFonts w:ascii="Arial" w:hAnsi="Arial" w:cs="Arial"/>
        </w:rPr>
      </w:pPr>
      <w:r w:rsidRPr="006123B0">
        <w:rPr>
          <w:rFonts w:ascii="Arial" w:hAnsi="Arial" w:cs="Arial"/>
        </w:rPr>
        <w:t xml:space="preserve">In entrambi i generi </w:t>
      </w:r>
      <w:r w:rsidR="00C012FD">
        <w:rPr>
          <w:rFonts w:ascii="Arial" w:hAnsi="Arial" w:cs="Arial"/>
        </w:rPr>
        <w:t xml:space="preserve">sia </w:t>
      </w:r>
      <w:r w:rsidRPr="006123B0">
        <w:rPr>
          <w:rFonts w:ascii="Arial" w:hAnsi="Arial" w:cs="Arial"/>
        </w:rPr>
        <w:t xml:space="preserve">la </w:t>
      </w:r>
      <w:r w:rsidRPr="006123B0">
        <w:rPr>
          <w:rFonts w:ascii="Arial" w:hAnsi="Arial" w:cs="Arial"/>
          <w:i/>
        </w:rPr>
        <w:t>mortalità</w:t>
      </w:r>
      <w:r w:rsidRPr="006123B0">
        <w:rPr>
          <w:rFonts w:ascii="Arial" w:hAnsi="Arial" w:cs="Arial"/>
        </w:rPr>
        <w:t xml:space="preserve"> </w:t>
      </w:r>
      <w:r w:rsidR="00C012FD">
        <w:rPr>
          <w:rFonts w:ascii="Arial" w:hAnsi="Arial" w:cs="Arial"/>
        </w:rPr>
        <w:t>che l’</w:t>
      </w:r>
      <w:r w:rsidR="00C012FD" w:rsidRPr="002B38D7">
        <w:rPr>
          <w:rFonts w:ascii="Arial" w:hAnsi="Arial" w:cs="Arial"/>
          <w:i/>
        </w:rPr>
        <w:t>ospedalizzazione</w:t>
      </w:r>
      <w:r w:rsidR="00C012FD">
        <w:rPr>
          <w:rFonts w:ascii="Arial" w:hAnsi="Arial" w:cs="Arial"/>
        </w:rPr>
        <w:t xml:space="preserve"> diminuiscono </w:t>
      </w:r>
      <w:r w:rsidRPr="006123B0">
        <w:rPr>
          <w:rFonts w:ascii="Arial" w:hAnsi="Arial" w:cs="Arial"/>
        </w:rPr>
        <w:t xml:space="preserve">progressivamente movendo da Crema, in cui </w:t>
      </w:r>
      <w:r w:rsidR="00C012FD">
        <w:rPr>
          <w:rFonts w:ascii="Arial" w:hAnsi="Arial" w:cs="Arial"/>
        </w:rPr>
        <w:t xml:space="preserve">si </w:t>
      </w:r>
      <w:r w:rsidRPr="006123B0">
        <w:rPr>
          <w:rFonts w:ascii="Arial" w:hAnsi="Arial" w:cs="Arial"/>
        </w:rPr>
        <w:t>raggiunge</w:t>
      </w:r>
      <w:r w:rsidR="00C012FD">
        <w:rPr>
          <w:rFonts w:ascii="Arial" w:hAnsi="Arial" w:cs="Arial"/>
        </w:rPr>
        <w:t xml:space="preserve"> anche </w:t>
      </w:r>
      <w:r w:rsidRPr="006123B0">
        <w:rPr>
          <w:rFonts w:ascii="Arial" w:hAnsi="Arial" w:cs="Arial"/>
        </w:rPr>
        <w:t>la significatività statistica, verso Mantova dove si attesta</w:t>
      </w:r>
      <w:r w:rsidR="00C012FD">
        <w:rPr>
          <w:rFonts w:ascii="Arial" w:hAnsi="Arial" w:cs="Arial"/>
        </w:rPr>
        <w:t>no a</w:t>
      </w:r>
      <w:r w:rsidRPr="006123B0">
        <w:rPr>
          <w:rFonts w:ascii="Arial" w:hAnsi="Arial" w:cs="Arial"/>
        </w:rPr>
        <w:t xml:space="preserve"> valori più bassi. </w:t>
      </w:r>
    </w:p>
    <w:p w:rsidR="00A32A83" w:rsidRPr="007A67FD" w:rsidRDefault="00C012FD" w:rsidP="007A67FD">
      <w:pPr>
        <w:pStyle w:val="Nessunaspaziatura"/>
        <w:jc w:val="both"/>
        <w:rPr>
          <w:rFonts w:ascii="Arial" w:hAnsi="Arial" w:cs="Arial"/>
        </w:rPr>
      </w:pPr>
      <w:r>
        <w:rPr>
          <w:rFonts w:ascii="Arial" w:hAnsi="Arial" w:cs="Arial"/>
        </w:rPr>
        <w:t>Se invece si osserva</w:t>
      </w:r>
      <w:r w:rsidR="00A32A83" w:rsidRPr="006123B0">
        <w:rPr>
          <w:rFonts w:ascii="Arial" w:hAnsi="Arial" w:cs="Arial"/>
        </w:rPr>
        <w:t xml:space="preserve"> questa patologia dal lato della </w:t>
      </w:r>
      <w:r w:rsidR="00A32A83" w:rsidRPr="006123B0">
        <w:rPr>
          <w:rFonts w:ascii="Arial" w:hAnsi="Arial" w:cs="Arial"/>
          <w:i/>
        </w:rPr>
        <w:t>prevalenza</w:t>
      </w:r>
      <w:r w:rsidR="00A32A83" w:rsidRPr="006123B0">
        <w:rPr>
          <w:rFonts w:ascii="Arial" w:hAnsi="Arial" w:cs="Arial"/>
        </w:rPr>
        <w:t xml:space="preserve">, la situazione si capovolge, in entrambi i generi ed in entrambe le componenti della popolazione, pediatrica e adulta. Alta a Mantova con significatività statistica e bassa a Crema. Cremona </w:t>
      </w:r>
      <w:r w:rsidR="007A67FD">
        <w:rPr>
          <w:rFonts w:ascii="Arial" w:hAnsi="Arial" w:cs="Arial"/>
        </w:rPr>
        <w:t>in posizione mediana.</w:t>
      </w:r>
    </w:p>
    <w:p w:rsidR="0080666D" w:rsidRPr="006123B0" w:rsidRDefault="0080666D" w:rsidP="00A54C79">
      <w:pPr>
        <w:rPr>
          <w:rFonts w:ascii="Arial" w:hAnsi="Arial" w:cs="Arial"/>
          <w:b/>
        </w:rPr>
      </w:pPr>
    </w:p>
    <w:tbl>
      <w:tblPr>
        <w:tblW w:w="9723" w:type="dxa"/>
        <w:tblInd w:w="55" w:type="dxa"/>
        <w:tblCellMar>
          <w:left w:w="70" w:type="dxa"/>
          <w:right w:w="70" w:type="dxa"/>
        </w:tblCellMar>
        <w:tblLook w:val="04A0" w:firstRow="1" w:lastRow="0" w:firstColumn="1" w:lastColumn="0" w:noHBand="0" w:noVBand="1"/>
      </w:tblPr>
      <w:tblGrid>
        <w:gridCol w:w="4988"/>
        <w:gridCol w:w="4735"/>
      </w:tblGrid>
      <w:tr w:rsidR="007D7770" w:rsidRPr="006123B0" w:rsidTr="0078714C">
        <w:trPr>
          <w:trHeight w:val="375"/>
        </w:trPr>
        <w:tc>
          <w:tcPr>
            <w:tcW w:w="5017" w:type="dxa"/>
            <w:shd w:val="clear" w:color="auto" w:fill="auto"/>
            <w:noWrap/>
            <w:vAlign w:val="bottom"/>
            <w:hideMark/>
          </w:tcPr>
          <w:p w:rsidR="007D7770" w:rsidRPr="006123B0" w:rsidRDefault="007D7770" w:rsidP="007D7770">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Pr="006123B0">
              <w:rPr>
                <w:rFonts w:ascii="Arial" w:hAnsi="Arial" w:cs="Arial"/>
                <w:noProof/>
                <w:lang w:eastAsia="it-IT"/>
              </w:rPr>
              <w:drawing>
                <wp:inline distT="0" distB="0" distL="0" distR="0" wp14:anchorId="740EEA56" wp14:editId="7B40D09C">
                  <wp:extent cx="2781300" cy="1971675"/>
                  <wp:effectExtent l="0" t="0" r="19050" b="9525"/>
                  <wp:docPr id="100" name="Gra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c>
          <w:tcPr>
            <w:tcW w:w="4706" w:type="dxa"/>
            <w:shd w:val="clear" w:color="auto" w:fill="auto"/>
            <w:noWrap/>
            <w:vAlign w:val="bottom"/>
            <w:hideMark/>
          </w:tcPr>
          <w:p w:rsidR="007D7770" w:rsidRPr="006123B0" w:rsidRDefault="007D7770" w:rsidP="007D7770">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986440" w:rsidRPr="006123B0">
              <w:rPr>
                <w:rFonts w:ascii="Arial" w:hAnsi="Arial" w:cs="Arial"/>
                <w:noProof/>
                <w:lang w:eastAsia="it-IT"/>
              </w:rPr>
              <w:drawing>
                <wp:inline distT="0" distB="0" distL="0" distR="0" wp14:anchorId="008FFC1E" wp14:editId="2EC7BFB9">
                  <wp:extent cx="2828925" cy="1933575"/>
                  <wp:effectExtent l="0" t="0" r="9525" b="9525"/>
                  <wp:docPr id="19" name="Gra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7D7770" w:rsidRPr="006123B0" w:rsidTr="0078714C">
        <w:trPr>
          <w:trHeight w:val="375"/>
        </w:trPr>
        <w:tc>
          <w:tcPr>
            <w:tcW w:w="5017" w:type="dxa"/>
            <w:shd w:val="clear" w:color="auto" w:fill="auto"/>
            <w:noWrap/>
            <w:vAlign w:val="bottom"/>
            <w:hideMark/>
          </w:tcPr>
          <w:p w:rsidR="007D7770" w:rsidRPr="006123B0" w:rsidRDefault="007D7770" w:rsidP="007D7770">
            <w:pPr>
              <w:spacing w:after="0" w:line="240" w:lineRule="auto"/>
              <w:rPr>
                <w:rFonts w:ascii="Arial" w:eastAsia="Times New Roman" w:hAnsi="Arial" w:cs="Arial"/>
                <w:color w:val="000000"/>
                <w:lang w:eastAsia="it-IT"/>
              </w:rPr>
            </w:pPr>
            <w:r w:rsidRPr="006123B0">
              <w:rPr>
                <w:rFonts w:ascii="Arial" w:hAnsi="Arial" w:cs="Arial"/>
                <w:noProof/>
                <w:lang w:eastAsia="it-IT"/>
              </w:rPr>
              <w:lastRenderedPageBreak/>
              <w:drawing>
                <wp:inline distT="0" distB="0" distL="0" distR="0" wp14:anchorId="44305DEC" wp14:editId="0E900838">
                  <wp:extent cx="3286125" cy="1933575"/>
                  <wp:effectExtent l="0" t="0" r="9525" b="9525"/>
                  <wp:docPr id="101" name="Gra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c>
          <w:tcPr>
            <w:tcW w:w="4706" w:type="dxa"/>
            <w:shd w:val="clear" w:color="auto" w:fill="auto"/>
            <w:noWrap/>
            <w:vAlign w:val="bottom"/>
            <w:hideMark/>
          </w:tcPr>
          <w:p w:rsidR="007D7770" w:rsidRPr="006123B0" w:rsidRDefault="0051534D" w:rsidP="007D7770">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46980BE2" wp14:editId="520CB823">
                  <wp:extent cx="3096883" cy="1932317"/>
                  <wp:effectExtent l="0" t="0" r="27940" b="10795"/>
                  <wp:docPr id="53" name="Gra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DE150A" w:rsidRDefault="00DE150A">
      <w:pPr>
        <w:rPr>
          <w:rFonts w:ascii="Arial" w:hAnsi="Arial" w:cs="Arial"/>
          <w:b/>
        </w:rPr>
      </w:pPr>
    </w:p>
    <w:p w:rsidR="007A67FD" w:rsidRPr="006123B0" w:rsidRDefault="007A67FD">
      <w:pPr>
        <w:rPr>
          <w:rFonts w:ascii="Arial" w:hAnsi="Arial" w:cs="Arial"/>
          <w:noProof/>
          <w:lang w:eastAsia="it-IT"/>
        </w:rPr>
        <w:sectPr w:rsidR="007A67FD" w:rsidRPr="006123B0" w:rsidSect="00EE4BAB">
          <w:type w:val="continuous"/>
          <w:pgSz w:w="11906" w:h="16838"/>
          <w:pgMar w:top="1417" w:right="1134" w:bottom="1134" w:left="1134" w:header="708" w:footer="708" w:gutter="0"/>
          <w:cols w:space="708"/>
          <w:docGrid w:linePitch="360"/>
        </w:sectPr>
      </w:pPr>
    </w:p>
    <w:p w:rsidR="00225FD8" w:rsidRPr="006123B0" w:rsidRDefault="00A32A83">
      <w:pPr>
        <w:rPr>
          <w:rFonts w:ascii="Arial" w:hAnsi="Arial" w:cs="Arial"/>
          <w:b/>
        </w:rPr>
      </w:pPr>
      <w:r w:rsidRPr="006123B0">
        <w:rPr>
          <w:rFonts w:ascii="Arial" w:hAnsi="Arial" w:cs="Arial"/>
          <w:b/>
        </w:rPr>
        <w:lastRenderedPageBreak/>
        <w:t>Area Matero-Infantile</w:t>
      </w:r>
    </w:p>
    <w:p w:rsidR="00A32A83" w:rsidRPr="006123B0" w:rsidRDefault="00A32A83" w:rsidP="003038AA">
      <w:pPr>
        <w:jc w:val="both"/>
        <w:rPr>
          <w:rFonts w:ascii="Arial" w:hAnsi="Arial" w:cs="Arial"/>
        </w:rPr>
      </w:pPr>
      <w:r w:rsidRPr="006123B0">
        <w:rPr>
          <w:rFonts w:ascii="Arial" w:hAnsi="Arial" w:cs="Arial"/>
        </w:rPr>
        <w:t xml:space="preserve">E’ un ambito che </w:t>
      </w:r>
      <w:r w:rsidR="003038AA" w:rsidRPr="006123B0">
        <w:rPr>
          <w:rFonts w:ascii="Arial" w:hAnsi="Arial" w:cs="Arial"/>
        </w:rPr>
        <w:t xml:space="preserve">in generale </w:t>
      </w:r>
      <w:r w:rsidRPr="006123B0">
        <w:rPr>
          <w:rFonts w:ascii="Arial" w:hAnsi="Arial" w:cs="Arial"/>
        </w:rPr>
        <w:t>sta assumendo una sempre maggior attenzione</w:t>
      </w:r>
      <w:r w:rsidR="003038AA" w:rsidRPr="006123B0">
        <w:rPr>
          <w:rFonts w:ascii="Arial" w:hAnsi="Arial" w:cs="Arial"/>
        </w:rPr>
        <w:t xml:space="preserve"> istituzionale,</w:t>
      </w:r>
      <w:r w:rsidRPr="006123B0">
        <w:rPr>
          <w:rFonts w:ascii="Arial" w:hAnsi="Arial" w:cs="Arial"/>
        </w:rPr>
        <w:t xml:space="preserve"> </w:t>
      </w:r>
      <w:r w:rsidR="002B38D7">
        <w:rPr>
          <w:rFonts w:ascii="Arial" w:hAnsi="Arial" w:cs="Arial"/>
        </w:rPr>
        <w:t>anche da parte di R</w:t>
      </w:r>
      <w:r w:rsidR="003038AA" w:rsidRPr="006123B0">
        <w:rPr>
          <w:rFonts w:ascii="Arial" w:hAnsi="Arial" w:cs="Arial"/>
        </w:rPr>
        <w:t xml:space="preserve">egione Lombardia, sia per l’ovvia rilevanza che questo assume in termini di destino delle generazioni future, ma anche per le grandi potenzialità di guadagno di salute offerte oggi dalla prevenzione e dall’assistenza del percorso nascita. A ciò si aggiunge il dato ormai acclarato che la maggiore suscettibilità di questa quota di popolazione alle </w:t>
      </w:r>
      <w:proofErr w:type="spellStart"/>
      <w:r w:rsidR="003038AA" w:rsidRPr="006123B0">
        <w:rPr>
          <w:rFonts w:ascii="Arial" w:hAnsi="Arial" w:cs="Arial"/>
        </w:rPr>
        <w:t>noxe</w:t>
      </w:r>
      <w:proofErr w:type="spellEnd"/>
      <w:r w:rsidR="003038AA" w:rsidRPr="006123B0">
        <w:rPr>
          <w:rFonts w:ascii="Arial" w:hAnsi="Arial" w:cs="Arial"/>
        </w:rPr>
        <w:t xml:space="preserve"> di natura ambientale ne fa una spia per i rischi dell’intera popolazione generale. Si esaminano di seguito alcuni indicatori di salute.</w:t>
      </w:r>
    </w:p>
    <w:p w:rsidR="0063432E" w:rsidRPr="006123B0" w:rsidRDefault="003038AA" w:rsidP="007A67FD">
      <w:pPr>
        <w:jc w:val="both"/>
        <w:rPr>
          <w:rFonts w:ascii="Arial" w:hAnsi="Arial" w:cs="Arial"/>
        </w:rPr>
      </w:pPr>
      <w:r w:rsidRPr="006123B0">
        <w:rPr>
          <w:rFonts w:ascii="Arial" w:hAnsi="Arial" w:cs="Arial"/>
        </w:rPr>
        <w:t>A Cremona la maggior frequenza di nati-pretermine</w:t>
      </w:r>
      <w:r w:rsidR="005856D3" w:rsidRPr="006123B0">
        <w:rPr>
          <w:rFonts w:ascii="Arial" w:hAnsi="Arial" w:cs="Arial"/>
        </w:rPr>
        <w:t xml:space="preserve"> e</w:t>
      </w:r>
      <w:r w:rsidRPr="006123B0">
        <w:rPr>
          <w:rFonts w:ascii="Arial" w:hAnsi="Arial" w:cs="Arial"/>
        </w:rPr>
        <w:t xml:space="preserve"> di  mortalità entro il primo anno di vita, a Mantova di nati-mortalità e a Crema </w:t>
      </w:r>
      <w:r w:rsidR="005856D3" w:rsidRPr="006123B0">
        <w:rPr>
          <w:rFonts w:ascii="Arial" w:hAnsi="Arial" w:cs="Arial"/>
        </w:rPr>
        <w:t>di nati sottopeso. Minime le variazioni dell’</w:t>
      </w:r>
      <w:proofErr w:type="spellStart"/>
      <w:r w:rsidR="005856D3" w:rsidRPr="006123B0">
        <w:rPr>
          <w:rFonts w:ascii="Arial" w:hAnsi="Arial" w:cs="Arial"/>
        </w:rPr>
        <w:t>abortività</w:t>
      </w:r>
      <w:proofErr w:type="spellEnd"/>
      <w:r w:rsidR="005856D3" w:rsidRPr="006123B0">
        <w:rPr>
          <w:rFonts w:ascii="Arial" w:hAnsi="Arial" w:cs="Arial"/>
        </w:rPr>
        <w:t xml:space="preserve"> spontanea.</w:t>
      </w:r>
    </w:p>
    <w:tbl>
      <w:tblPr>
        <w:tblW w:w="9723" w:type="dxa"/>
        <w:tblInd w:w="55" w:type="dxa"/>
        <w:tblCellMar>
          <w:left w:w="70" w:type="dxa"/>
          <w:right w:w="70" w:type="dxa"/>
        </w:tblCellMar>
        <w:tblLook w:val="04A0" w:firstRow="1" w:lastRow="0" w:firstColumn="1" w:lastColumn="0" w:noHBand="0" w:noVBand="1"/>
      </w:tblPr>
      <w:tblGrid>
        <w:gridCol w:w="5325"/>
        <w:gridCol w:w="4398"/>
      </w:tblGrid>
      <w:tr w:rsidR="00BB130B" w:rsidRPr="006123B0" w:rsidTr="00BB130B">
        <w:trPr>
          <w:trHeight w:val="323"/>
        </w:trPr>
        <w:tc>
          <w:tcPr>
            <w:tcW w:w="5406" w:type="dxa"/>
            <w:shd w:val="clear" w:color="auto" w:fill="auto"/>
            <w:noWrap/>
            <w:vAlign w:val="bottom"/>
            <w:hideMark/>
          </w:tcPr>
          <w:p w:rsidR="002A1F40" w:rsidRPr="006123B0" w:rsidRDefault="002A1F40" w:rsidP="002A1F40">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29EBB458" wp14:editId="52724D83">
                  <wp:extent cx="3343275" cy="2409825"/>
                  <wp:effectExtent l="0" t="0" r="9525" b="9525"/>
                  <wp:docPr id="10" name="Gra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c>
          <w:tcPr>
            <w:tcW w:w="4317" w:type="dxa"/>
            <w:shd w:val="clear" w:color="auto" w:fill="auto"/>
            <w:noWrap/>
            <w:vAlign w:val="bottom"/>
            <w:hideMark/>
          </w:tcPr>
          <w:p w:rsidR="002A1F40" w:rsidRPr="006123B0" w:rsidRDefault="002A1F40" w:rsidP="002A1F40">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0614879D" wp14:editId="5CA35086">
                  <wp:extent cx="2781300" cy="2409825"/>
                  <wp:effectExtent l="0" t="0" r="19050" b="9525"/>
                  <wp:docPr id="11" name="Gra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BB130B" w:rsidRPr="006123B0" w:rsidTr="00BB130B">
        <w:trPr>
          <w:trHeight w:val="3299"/>
        </w:trPr>
        <w:tc>
          <w:tcPr>
            <w:tcW w:w="5406" w:type="dxa"/>
            <w:shd w:val="clear" w:color="auto" w:fill="auto"/>
            <w:noWrap/>
            <w:vAlign w:val="bottom"/>
            <w:hideMark/>
          </w:tcPr>
          <w:p w:rsidR="002A1F40" w:rsidRPr="006123B0" w:rsidRDefault="002A1F40" w:rsidP="002A1F40">
            <w:pPr>
              <w:spacing w:after="0" w:line="240" w:lineRule="auto"/>
              <w:rPr>
                <w:rFonts w:ascii="Arial" w:eastAsia="Times New Roman" w:hAnsi="Arial" w:cs="Arial"/>
                <w:color w:val="000000"/>
                <w:lang w:eastAsia="it-IT"/>
              </w:rPr>
            </w:pPr>
            <w:r w:rsidRPr="006123B0">
              <w:rPr>
                <w:rFonts w:ascii="Arial" w:hAnsi="Arial" w:cs="Arial"/>
                <w:noProof/>
                <w:lang w:eastAsia="it-IT"/>
              </w:rPr>
              <w:lastRenderedPageBreak/>
              <w:drawing>
                <wp:inline distT="0" distB="0" distL="0" distR="0" wp14:anchorId="00551141" wp14:editId="5A83A5A8">
                  <wp:extent cx="3390181" cy="2104845"/>
                  <wp:effectExtent l="0" t="0" r="20320" b="10160"/>
                  <wp:docPr id="12" name="Gra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c>
          <w:tcPr>
            <w:tcW w:w="4317" w:type="dxa"/>
            <w:shd w:val="clear" w:color="auto" w:fill="auto"/>
            <w:noWrap/>
            <w:vAlign w:val="bottom"/>
            <w:hideMark/>
          </w:tcPr>
          <w:p w:rsidR="002A1F40" w:rsidRPr="006123B0" w:rsidRDefault="00BB130B" w:rsidP="002A1F40">
            <w:pPr>
              <w:spacing w:after="0" w:line="240" w:lineRule="auto"/>
              <w:rPr>
                <w:rFonts w:ascii="Arial" w:eastAsia="Times New Roman" w:hAnsi="Arial" w:cs="Arial"/>
                <w:color w:val="000000"/>
                <w:lang w:eastAsia="it-IT"/>
              </w:rPr>
            </w:pPr>
            <w:r w:rsidRPr="006123B0">
              <w:rPr>
                <w:rFonts w:ascii="Arial" w:hAnsi="Arial" w:cs="Arial"/>
                <w:noProof/>
                <w:lang w:eastAsia="it-IT"/>
              </w:rPr>
              <w:drawing>
                <wp:inline distT="0" distB="0" distL="0" distR="0" wp14:anchorId="0776FCF8" wp14:editId="7AD37D46">
                  <wp:extent cx="2647950" cy="2095500"/>
                  <wp:effectExtent l="0" t="0" r="19050" b="19050"/>
                  <wp:docPr id="13" name="Gra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BB130B" w:rsidRPr="006123B0" w:rsidTr="00BB130B">
        <w:trPr>
          <w:trHeight w:val="323"/>
        </w:trPr>
        <w:tc>
          <w:tcPr>
            <w:tcW w:w="9723" w:type="dxa"/>
            <w:gridSpan w:val="2"/>
            <w:shd w:val="clear" w:color="auto" w:fill="auto"/>
            <w:noWrap/>
            <w:vAlign w:val="bottom"/>
            <w:hideMark/>
          </w:tcPr>
          <w:p w:rsidR="00BB130B" w:rsidRPr="006123B0" w:rsidRDefault="00BB130B" w:rsidP="00BB130B">
            <w:pPr>
              <w:spacing w:after="0" w:line="240" w:lineRule="auto"/>
              <w:jc w:val="center"/>
              <w:rPr>
                <w:rFonts w:ascii="Arial" w:eastAsia="Times New Roman" w:hAnsi="Arial" w:cs="Arial"/>
                <w:color w:val="000000"/>
                <w:lang w:eastAsia="it-IT"/>
              </w:rPr>
            </w:pPr>
            <w:r w:rsidRPr="006123B0">
              <w:rPr>
                <w:rFonts w:ascii="Arial" w:hAnsi="Arial" w:cs="Arial"/>
                <w:noProof/>
                <w:lang w:eastAsia="it-IT"/>
              </w:rPr>
              <w:drawing>
                <wp:inline distT="0" distB="0" distL="0" distR="0" wp14:anchorId="1E79D5B3" wp14:editId="430803D3">
                  <wp:extent cx="3343275" cy="2400300"/>
                  <wp:effectExtent l="0" t="0" r="9525" b="19050"/>
                  <wp:docPr id="14" name="Gra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DE150A" w:rsidRPr="006123B0" w:rsidRDefault="00DE150A" w:rsidP="00847D5E">
      <w:pPr>
        <w:spacing w:after="120"/>
        <w:jc w:val="both"/>
        <w:rPr>
          <w:rFonts w:ascii="Arial" w:hAnsi="Arial" w:cs="Arial"/>
        </w:rPr>
      </w:pPr>
    </w:p>
    <w:p w:rsidR="001B6A4F" w:rsidRPr="006123B0" w:rsidRDefault="00D141CA" w:rsidP="00C642CB">
      <w:pPr>
        <w:spacing w:after="120"/>
        <w:jc w:val="both"/>
        <w:rPr>
          <w:rFonts w:ascii="Arial" w:hAnsi="Arial" w:cs="Arial"/>
        </w:rPr>
      </w:pPr>
      <w:r w:rsidRPr="006123B0">
        <w:rPr>
          <w:rFonts w:ascii="Arial" w:hAnsi="Arial" w:cs="Arial"/>
        </w:rPr>
        <w:t>La rete dei servizi dedicati al percorso nascita risulta dall’immagine che segue</w:t>
      </w:r>
      <w:r w:rsidR="005856D3" w:rsidRPr="006123B0">
        <w:rPr>
          <w:rFonts w:ascii="Arial" w:hAnsi="Arial" w:cs="Arial"/>
        </w:rPr>
        <w:t>. E’</w:t>
      </w:r>
      <w:r w:rsidRPr="006123B0">
        <w:rPr>
          <w:rFonts w:ascii="Arial" w:hAnsi="Arial" w:cs="Arial"/>
        </w:rPr>
        <w:t>evidente la disomogenea distribuzione dei consultori familiari, mentre è presente nel territorio un punto nascita con meno di 500 parti l’anno</w:t>
      </w:r>
      <w:r w:rsidR="005856D3" w:rsidRPr="006123B0">
        <w:rPr>
          <w:rFonts w:ascii="Arial" w:hAnsi="Arial" w:cs="Arial"/>
        </w:rPr>
        <w:t>.</w:t>
      </w:r>
    </w:p>
    <w:p w:rsidR="000E023F" w:rsidRDefault="00D141CA" w:rsidP="000E023F">
      <w:pPr>
        <w:jc w:val="center"/>
        <w:rPr>
          <w:rFonts w:ascii="Arial" w:hAnsi="Arial" w:cs="Arial"/>
        </w:rPr>
      </w:pPr>
      <w:r w:rsidRPr="006123B0">
        <w:rPr>
          <w:rFonts w:ascii="Arial" w:hAnsi="Arial" w:cs="Arial"/>
          <w:noProof/>
          <w:lang w:eastAsia="it-IT"/>
        </w:rPr>
        <w:drawing>
          <wp:inline distT="0" distB="0" distL="0" distR="0" wp14:anchorId="5DDE6660" wp14:editId="380A4804">
            <wp:extent cx="4718649" cy="3539151"/>
            <wp:effectExtent l="0" t="0" r="6350" b="4445"/>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19304" cy="3539643"/>
                    </a:xfrm>
                    <a:prstGeom prst="rect">
                      <a:avLst/>
                    </a:prstGeom>
                    <a:noFill/>
                  </pic:spPr>
                </pic:pic>
              </a:graphicData>
            </a:graphic>
          </wp:inline>
        </w:drawing>
      </w:r>
    </w:p>
    <w:p w:rsidR="009D0672" w:rsidRPr="006123B0" w:rsidRDefault="005856D3" w:rsidP="000E023F">
      <w:pPr>
        <w:jc w:val="both"/>
        <w:rPr>
          <w:rFonts w:ascii="Arial" w:hAnsi="Arial" w:cs="Arial"/>
        </w:rPr>
      </w:pPr>
      <w:r w:rsidRPr="006123B0">
        <w:rPr>
          <w:rFonts w:ascii="Arial" w:hAnsi="Arial" w:cs="Arial"/>
        </w:rPr>
        <w:lastRenderedPageBreak/>
        <w:t>Sono stati studiati alcuni out</w:t>
      </w:r>
      <w:r w:rsidR="00A652E7">
        <w:rPr>
          <w:rFonts w:ascii="Arial" w:hAnsi="Arial" w:cs="Arial"/>
        </w:rPr>
        <w:t xml:space="preserve"> </w:t>
      </w:r>
      <w:r w:rsidRPr="006123B0">
        <w:rPr>
          <w:rFonts w:ascii="Arial" w:hAnsi="Arial" w:cs="Arial"/>
        </w:rPr>
        <w:t xml:space="preserve">come ostetrici e neonatali nelle due ex-ASL, anche in rapporto ai determinanti sociali esplorabili: nazionalità, scolarità, condizione professionale. </w:t>
      </w:r>
    </w:p>
    <w:p w:rsidR="005856D3" w:rsidRPr="006123B0" w:rsidRDefault="005856D3" w:rsidP="000E023F">
      <w:pPr>
        <w:pStyle w:val="Nessunaspaziatura"/>
        <w:jc w:val="both"/>
        <w:rPr>
          <w:rFonts w:ascii="Arial" w:hAnsi="Arial" w:cs="Arial"/>
        </w:rPr>
      </w:pPr>
      <w:r w:rsidRPr="006123B0">
        <w:rPr>
          <w:rFonts w:ascii="Arial" w:hAnsi="Arial" w:cs="Arial"/>
        </w:rPr>
        <w:t xml:space="preserve">Alcuni esiti, mancata esecuzione dell’ecografia morfologica (LEA), la prematurità e il basso indice di </w:t>
      </w:r>
      <w:proofErr w:type="spellStart"/>
      <w:r w:rsidRPr="006123B0">
        <w:rPr>
          <w:rFonts w:ascii="Arial" w:hAnsi="Arial" w:cs="Arial"/>
        </w:rPr>
        <w:t>Apgar</w:t>
      </w:r>
      <w:proofErr w:type="spellEnd"/>
      <w:r w:rsidRPr="006123B0">
        <w:rPr>
          <w:rFonts w:ascii="Arial" w:hAnsi="Arial" w:cs="Arial"/>
        </w:rPr>
        <w:t xml:space="preserve"> alla nascita, sono sensibilmente più sfavorevoli  </w:t>
      </w:r>
      <w:r w:rsidR="009D0672" w:rsidRPr="006123B0">
        <w:rPr>
          <w:rFonts w:ascii="Arial" w:hAnsi="Arial" w:cs="Arial"/>
        </w:rPr>
        <w:t xml:space="preserve">rispetto ai </w:t>
      </w:r>
      <w:r w:rsidRPr="006123B0">
        <w:rPr>
          <w:rFonts w:ascii="Arial" w:hAnsi="Arial" w:cs="Arial"/>
        </w:rPr>
        <w:t>due distretti cremonesi</w:t>
      </w:r>
      <w:r w:rsidR="009D0672" w:rsidRPr="006123B0">
        <w:rPr>
          <w:rFonts w:ascii="Arial" w:hAnsi="Arial" w:cs="Arial"/>
        </w:rPr>
        <w:t xml:space="preserve"> complessivamente considerati</w:t>
      </w:r>
      <w:r w:rsidRPr="006123B0">
        <w:rPr>
          <w:rFonts w:ascii="Arial" w:hAnsi="Arial" w:cs="Arial"/>
        </w:rPr>
        <w:t xml:space="preserve">, pur con le correzioni sopra citate. Di seguito la tabella sinottica di tutte le variabili prese in esame, i cui valori sono espressi come </w:t>
      </w:r>
      <w:proofErr w:type="spellStart"/>
      <w:r w:rsidRPr="006123B0">
        <w:rPr>
          <w:rFonts w:ascii="Arial" w:hAnsi="Arial" w:cs="Arial"/>
        </w:rPr>
        <w:t>Odds</w:t>
      </w:r>
      <w:proofErr w:type="spellEnd"/>
      <w:r w:rsidRPr="006123B0">
        <w:rPr>
          <w:rFonts w:ascii="Arial" w:hAnsi="Arial" w:cs="Arial"/>
        </w:rPr>
        <w:t xml:space="preserve"> Ratio (OR). </w:t>
      </w:r>
    </w:p>
    <w:p w:rsidR="009D0672" w:rsidRPr="006123B0" w:rsidRDefault="005856D3" w:rsidP="000E023F">
      <w:pPr>
        <w:pStyle w:val="Nessunaspaziatura"/>
        <w:jc w:val="both"/>
        <w:rPr>
          <w:rFonts w:ascii="Arial" w:hAnsi="Arial" w:cs="Arial"/>
        </w:rPr>
      </w:pPr>
      <w:r w:rsidRPr="006123B0">
        <w:rPr>
          <w:rFonts w:ascii="Arial" w:hAnsi="Arial" w:cs="Arial"/>
        </w:rPr>
        <w:t xml:space="preserve">Quanto più il valore della OR sopravanza 1, tanto maggiore sarà la probabilità che la variabile indicata accada, viceversa quanto più il valore </w:t>
      </w:r>
      <w:r w:rsidR="009D0672" w:rsidRPr="006123B0">
        <w:rPr>
          <w:rFonts w:ascii="Arial" w:hAnsi="Arial" w:cs="Arial"/>
        </w:rPr>
        <w:t xml:space="preserve">si allontana da 1, tanto minore sarà la probabilità di accadere per la variabile considerata. </w:t>
      </w:r>
    </w:p>
    <w:p w:rsidR="005856D3" w:rsidRPr="006123B0" w:rsidRDefault="009D0672" w:rsidP="000E023F">
      <w:pPr>
        <w:pStyle w:val="Nessunaspaziatura"/>
        <w:jc w:val="both"/>
        <w:rPr>
          <w:rFonts w:ascii="Arial" w:hAnsi="Arial" w:cs="Arial"/>
        </w:rPr>
      </w:pPr>
      <w:r w:rsidRPr="006123B0">
        <w:rPr>
          <w:rFonts w:ascii="Arial" w:hAnsi="Arial" w:cs="Arial"/>
        </w:rPr>
        <w:t>Ad esempio, l’OR pari a 3.39 a Cremona per le donne straniere di incorrere in un ritardo della prima visita ostetrica significa che la probabilità che questo svantaggio si realizzi sopravanza del 239% in più quella delle donne italiane.  Invece, l’OR di 1,99 a Mantova per le donne straniere indica che queste hanno</w:t>
      </w:r>
      <w:r w:rsidR="002B38D7">
        <w:rPr>
          <w:rFonts w:ascii="Arial" w:hAnsi="Arial" w:cs="Arial"/>
        </w:rPr>
        <w:t xml:space="preserve"> rispetto alle italiane </w:t>
      </w:r>
      <w:r w:rsidRPr="006123B0">
        <w:rPr>
          <w:rFonts w:ascii="Arial" w:hAnsi="Arial" w:cs="Arial"/>
        </w:rPr>
        <w:t>quasi il doppio di probabilità di allattare ancora esclusivamente al seno in occasione del 4^bilancio di salute (</w:t>
      </w:r>
      <w:r w:rsidR="002B38D7">
        <w:rPr>
          <w:rFonts w:ascii="Arial" w:hAnsi="Arial" w:cs="Arial"/>
        </w:rPr>
        <w:t xml:space="preserve">circa </w:t>
      </w:r>
      <w:r w:rsidRPr="006123B0">
        <w:rPr>
          <w:rFonts w:ascii="Arial" w:hAnsi="Arial" w:cs="Arial"/>
        </w:rPr>
        <w:t>6 mesi</w:t>
      </w:r>
      <w:r w:rsidR="002B38D7">
        <w:rPr>
          <w:rFonts w:ascii="Arial" w:hAnsi="Arial" w:cs="Arial"/>
        </w:rPr>
        <w:t xml:space="preserve"> di vita</w:t>
      </w:r>
      <w:r w:rsidRPr="006123B0">
        <w:rPr>
          <w:rFonts w:ascii="Arial" w:hAnsi="Arial" w:cs="Arial"/>
        </w:rPr>
        <w:t>) con importante effetto protettivo per la salute presente e futura del bambino.</w:t>
      </w:r>
    </w:p>
    <w:p w:rsidR="009D0672" w:rsidRPr="006123B0" w:rsidRDefault="009D0672" w:rsidP="000E023F">
      <w:pPr>
        <w:jc w:val="both"/>
        <w:rPr>
          <w:rFonts w:ascii="Arial" w:hAnsi="Arial" w:cs="Arial"/>
        </w:rPr>
      </w:pPr>
    </w:p>
    <w:tbl>
      <w:tblPr>
        <w:tblW w:w="9512" w:type="dxa"/>
        <w:tblCellMar>
          <w:left w:w="0" w:type="dxa"/>
          <w:right w:w="0" w:type="dxa"/>
        </w:tblCellMar>
        <w:tblLook w:val="0600" w:firstRow="0" w:lastRow="0" w:firstColumn="0" w:lastColumn="0" w:noHBand="1" w:noVBand="1"/>
      </w:tblPr>
      <w:tblGrid>
        <w:gridCol w:w="1495"/>
        <w:gridCol w:w="1674"/>
        <w:gridCol w:w="1107"/>
        <w:gridCol w:w="1031"/>
        <w:gridCol w:w="983"/>
        <w:gridCol w:w="1095"/>
        <w:gridCol w:w="1108"/>
        <w:gridCol w:w="1019"/>
      </w:tblGrid>
      <w:tr w:rsidR="00C756E6" w:rsidRPr="00C756E6" w:rsidTr="00D141CA">
        <w:trPr>
          <w:trHeight w:val="530"/>
        </w:trPr>
        <w:tc>
          <w:tcPr>
            <w:tcW w:w="311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color w:val="000000"/>
                <w:kern w:val="24"/>
                <w:lang w:eastAsia="it-IT"/>
              </w:rPr>
              <w:t> </w:t>
            </w:r>
          </w:p>
        </w:tc>
        <w:tc>
          <w:tcPr>
            <w:tcW w:w="3133" w:type="dxa"/>
            <w:gridSpan w:val="3"/>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Cremona</w:t>
            </w:r>
          </w:p>
        </w:tc>
        <w:tc>
          <w:tcPr>
            <w:tcW w:w="3261" w:type="dxa"/>
            <w:gridSpan w:val="3"/>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Mantova</w:t>
            </w:r>
          </w:p>
        </w:tc>
      </w:tr>
      <w:tr w:rsidR="00C756E6" w:rsidRPr="00C756E6" w:rsidTr="00D141CA">
        <w:trPr>
          <w:trHeight w:val="606"/>
        </w:trPr>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1B6A4F">
            <w:pPr>
              <w:spacing w:after="0" w:line="240" w:lineRule="auto"/>
              <w:jc w:val="center"/>
              <w:textAlignment w:val="bottom"/>
              <w:rPr>
                <w:rFonts w:ascii="Arial" w:eastAsia="Times New Roman" w:hAnsi="Arial" w:cs="Arial"/>
                <w:lang w:eastAsia="it-IT"/>
              </w:rPr>
            </w:pPr>
            <w:r>
              <w:rPr>
                <w:rFonts w:ascii="Arial" w:eastAsia="Times New Roman" w:hAnsi="Arial" w:cs="Arial"/>
                <w:b/>
                <w:bCs/>
                <w:color w:val="000000"/>
                <w:kern w:val="24"/>
                <w:lang w:eastAsia="it-IT"/>
              </w:rPr>
              <w:t>Straniera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1B6A4F">
            <w:pPr>
              <w:spacing w:after="0" w:line="240" w:lineRule="auto"/>
              <w:jc w:val="center"/>
              <w:textAlignment w:val="bottom"/>
              <w:rPr>
                <w:rFonts w:ascii="Arial" w:eastAsia="Times New Roman" w:hAnsi="Arial" w:cs="Arial"/>
                <w:lang w:eastAsia="it-IT"/>
              </w:rPr>
            </w:pPr>
            <w:r>
              <w:rPr>
                <w:rFonts w:ascii="Arial" w:eastAsia="Times New Roman" w:hAnsi="Arial" w:cs="Arial"/>
                <w:b/>
                <w:bCs/>
                <w:color w:val="000000"/>
                <w:kern w:val="24"/>
                <w:lang w:eastAsia="it-IT"/>
              </w:rPr>
              <w:t>Occupata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1B6A4F">
            <w:pPr>
              <w:spacing w:after="0" w:line="240" w:lineRule="auto"/>
              <w:jc w:val="center"/>
              <w:textAlignment w:val="bottom"/>
              <w:rPr>
                <w:rFonts w:ascii="Arial" w:eastAsia="Times New Roman" w:hAnsi="Arial" w:cs="Arial"/>
                <w:lang w:eastAsia="it-IT"/>
              </w:rPr>
            </w:pPr>
            <w:r>
              <w:rPr>
                <w:rFonts w:ascii="Arial" w:eastAsia="Times New Roman" w:hAnsi="Arial" w:cs="Arial"/>
                <w:b/>
                <w:bCs/>
                <w:color w:val="000000"/>
                <w:kern w:val="24"/>
                <w:lang w:eastAsia="it-IT"/>
              </w:rPr>
              <w:t>Scolarità</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C756E6">
            <w:pPr>
              <w:spacing w:after="0" w:line="240" w:lineRule="auto"/>
              <w:jc w:val="center"/>
              <w:textAlignment w:val="bottom"/>
              <w:rPr>
                <w:rFonts w:ascii="Arial" w:eastAsia="Times New Roman" w:hAnsi="Arial" w:cs="Arial"/>
                <w:lang w:eastAsia="it-IT"/>
              </w:rPr>
            </w:pPr>
            <w:r>
              <w:rPr>
                <w:rFonts w:ascii="Arial" w:eastAsia="Times New Roman" w:hAnsi="Arial" w:cs="Arial"/>
                <w:b/>
                <w:bCs/>
                <w:color w:val="000000"/>
                <w:kern w:val="24"/>
                <w:lang w:eastAsia="it-IT"/>
              </w:rPr>
              <w:t>Straniera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1B6A4F">
            <w:pPr>
              <w:spacing w:after="0" w:line="240" w:lineRule="auto"/>
              <w:jc w:val="center"/>
              <w:textAlignment w:val="bottom"/>
              <w:rPr>
                <w:rFonts w:ascii="Arial" w:eastAsia="Times New Roman" w:hAnsi="Arial" w:cs="Arial"/>
                <w:lang w:eastAsia="it-IT"/>
              </w:rPr>
            </w:pPr>
            <w:r>
              <w:rPr>
                <w:rFonts w:ascii="Arial" w:eastAsia="Times New Roman" w:hAnsi="Arial" w:cs="Arial"/>
                <w:b/>
                <w:bCs/>
                <w:color w:val="000000"/>
                <w:kern w:val="24"/>
                <w:lang w:eastAsia="it-IT"/>
              </w:rPr>
              <w:t>Occupata</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C756E6" w:rsidP="001B6A4F">
            <w:pPr>
              <w:spacing w:after="0" w:line="240" w:lineRule="auto"/>
              <w:jc w:val="center"/>
              <w:textAlignment w:val="bottom"/>
              <w:rPr>
                <w:rFonts w:ascii="Arial" w:eastAsia="Times New Roman" w:hAnsi="Arial" w:cs="Arial"/>
                <w:lang w:eastAsia="it-IT"/>
              </w:rPr>
            </w:pPr>
            <w:proofErr w:type="spellStart"/>
            <w:r>
              <w:rPr>
                <w:rFonts w:ascii="Arial" w:eastAsia="Times New Roman" w:hAnsi="Arial" w:cs="Arial"/>
                <w:b/>
                <w:bCs/>
                <w:color w:val="000000"/>
                <w:kern w:val="24"/>
                <w:lang w:eastAsia="it-IT"/>
              </w:rPr>
              <w:t>Scolarità</w:t>
            </w:r>
            <w:r w:rsidR="001B6A4F" w:rsidRPr="00C756E6">
              <w:rPr>
                <w:rFonts w:ascii="Arial" w:eastAsia="Times New Roman" w:hAnsi="Arial" w:cs="Arial"/>
                <w:b/>
                <w:bCs/>
                <w:color w:val="000000"/>
                <w:kern w:val="24"/>
                <w:lang w:eastAsia="it-IT"/>
              </w:rPr>
              <w:t>I</w:t>
            </w:r>
            <w:proofErr w:type="spellEnd"/>
          </w:p>
        </w:tc>
      </w:tr>
      <w:tr w:rsidR="00C756E6" w:rsidRPr="00C756E6" w:rsidTr="00D141CA">
        <w:trPr>
          <w:trHeight w:val="618"/>
        </w:trPr>
        <w:tc>
          <w:tcPr>
            <w:tcW w:w="1313" w:type="dxa"/>
            <w:vMerge w:val="restart"/>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r w:rsidRPr="00C756E6">
              <w:rPr>
                <w:rFonts w:ascii="Arial" w:eastAsia="Times New Roman" w:hAnsi="Arial" w:cs="Arial"/>
                <w:b/>
                <w:bCs/>
                <w:color w:val="000000"/>
                <w:kern w:val="24"/>
                <w:lang w:eastAsia="it-IT"/>
              </w:rPr>
              <w:t>ASSIST</w:t>
            </w:r>
            <w:bookmarkStart w:id="0" w:name="_GoBack"/>
            <w:bookmarkEnd w:id="0"/>
            <w:r w:rsidRPr="00C756E6">
              <w:rPr>
                <w:rFonts w:ascii="Arial" w:eastAsia="Times New Roman" w:hAnsi="Arial" w:cs="Arial"/>
                <w:b/>
                <w:bCs/>
                <w:color w:val="000000"/>
                <w:kern w:val="24"/>
                <w:lang w:eastAsia="it-IT"/>
              </w:rPr>
              <w:t>ENZA IN GRAVIDANZA</w:t>
            </w:r>
          </w:p>
          <w:p w:rsidR="001B6A4F" w:rsidRPr="00C756E6" w:rsidRDefault="001B6A4F" w:rsidP="001B6A4F">
            <w:pPr>
              <w:spacing w:after="0" w:line="240" w:lineRule="auto"/>
              <w:jc w:val="center"/>
              <w:textAlignment w:val="bottom"/>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Prima visita tardiva</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3,39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0,53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0,79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3,30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0,62</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0,68</w:t>
            </w:r>
          </w:p>
        </w:tc>
      </w:tr>
      <w:tr w:rsidR="00C756E6" w:rsidRPr="00C756E6" w:rsidTr="00D141CA">
        <w:trPr>
          <w:trHeight w:val="39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No morfologica</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2,76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0,56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r>
      <w:tr w:rsidR="00C756E6" w:rsidRPr="00C756E6" w:rsidTr="00D141CA">
        <w:trPr>
          <w:trHeight w:val="53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Diagnosi prenatale invasiva</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1,56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0,53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1,26</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r>
      <w:tr w:rsidR="00C756E6" w:rsidRPr="00C756E6" w:rsidTr="00D141CA">
        <w:trPr>
          <w:trHeight w:val="343"/>
        </w:trPr>
        <w:tc>
          <w:tcPr>
            <w:tcW w:w="1313" w:type="dxa"/>
            <w:vMerge w:val="restart"/>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b/>
                <w:bCs/>
                <w:color w:val="000000"/>
                <w:kern w:val="24"/>
                <w:lang w:eastAsia="it-IT"/>
              </w:rPr>
            </w:pPr>
            <w:r w:rsidRPr="00C756E6">
              <w:rPr>
                <w:rFonts w:ascii="Arial" w:eastAsia="Times New Roman" w:hAnsi="Arial" w:cs="Arial"/>
                <w:b/>
                <w:bCs/>
                <w:color w:val="000000"/>
                <w:kern w:val="24"/>
                <w:lang w:eastAsia="it-IT"/>
              </w:rPr>
              <w:t>PARTO</w:t>
            </w:r>
          </w:p>
          <w:p w:rsidR="001B6A4F" w:rsidRPr="00C756E6" w:rsidRDefault="001B6A4F" w:rsidP="001B6A4F">
            <w:pPr>
              <w:spacing w:after="0" w:line="335" w:lineRule="atLeast"/>
              <w:jc w:val="center"/>
              <w:textAlignment w:val="bottom"/>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Parto analgesia</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0,31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0,32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335" w:lineRule="atLeast"/>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r>
      <w:tr w:rsidR="00C756E6" w:rsidRPr="00C756E6" w:rsidTr="00D141CA">
        <w:trPr>
          <w:trHeight w:val="74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 xml:space="preserve">Cesareo prime classi di </w:t>
            </w:r>
            <w:proofErr w:type="spellStart"/>
            <w:r w:rsidRPr="00C756E6">
              <w:rPr>
                <w:rFonts w:ascii="Arial" w:eastAsia="Times New Roman" w:hAnsi="Arial" w:cs="Arial"/>
                <w:b/>
                <w:bCs/>
                <w:color w:val="000000"/>
                <w:kern w:val="24"/>
                <w:lang w:eastAsia="it-IT"/>
              </w:rPr>
              <w:t>Robson</w:t>
            </w:r>
            <w:proofErr w:type="spellEnd"/>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1,35</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r>
      <w:tr w:rsidR="00C756E6" w:rsidRPr="00C756E6" w:rsidTr="00D141CA">
        <w:trPr>
          <w:trHeight w:val="530"/>
        </w:trPr>
        <w:tc>
          <w:tcPr>
            <w:tcW w:w="1313" w:type="dxa"/>
            <w:vMerge w:val="restart"/>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r w:rsidRPr="00C756E6">
              <w:rPr>
                <w:rFonts w:ascii="Arial" w:eastAsia="Times New Roman" w:hAnsi="Arial" w:cs="Arial"/>
                <w:b/>
                <w:bCs/>
                <w:color w:val="000000"/>
                <w:kern w:val="24"/>
                <w:lang w:eastAsia="it-IT"/>
              </w:rPr>
              <w:t>NEONATO</w:t>
            </w:r>
          </w:p>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p>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p>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p>
          <w:p w:rsidR="001B6A4F" w:rsidRPr="00C756E6" w:rsidRDefault="001B6A4F" w:rsidP="001B6A4F">
            <w:pPr>
              <w:spacing w:after="0" w:line="240" w:lineRule="auto"/>
              <w:jc w:val="center"/>
              <w:textAlignment w:val="bottom"/>
              <w:rPr>
                <w:rFonts w:ascii="Arial" w:eastAsia="Times New Roman" w:hAnsi="Arial" w:cs="Arial"/>
                <w:b/>
                <w:bCs/>
                <w:color w:val="000000"/>
                <w:kern w:val="24"/>
                <w:lang w:eastAsia="it-IT"/>
              </w:rPr>
            </w:pPr>
          </w:p>
          <w:p w:rsidR="001B6A4F" w:rsidRPr="00C756E6" w:rsidRDefault="001B6A4F" w:rsidP="001B6A4F">
            <w:pPr>
              <w:spacing w:after="0" w:line="240" w:lineRule="auto"/>
              <w:jc w:val="center"/>
              <w:textAlignment w:val="bottom"/>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Nato prematuro</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1,42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r>
      <w:tr w:rsidR="00C756E6" w:rsidRPr="00C756E6" w:rsidTr="00D141CA">
        <w:trPr>
          <w:trHeight w:val="53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Nato piccolo &lt;2500</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r>
      <w:tr w:rsidR="00C756E6" w:rsidRPr="00C756E6" w:rsidTr="00D141CA">
        <w:trPr>
          <w:trHeight w:val="59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r w:rsidRPr="00C756E6">
              <w:rPr>
                <w:rFonts w:ascii="Arial" w:eastAsia="Times New Roman" w:hAnsi="Arial" w:cs="Arial"/>
                <w:b/>
                <w:bCs/>
                <w:color w:val="000000"/>
                <w:kern w:val="24"/>
                <w:lang w:eastAsia="it-IT"/>
              </w:rPr>
              <w:t>Nato piccolo &lt;1500</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2,98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2,70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r>
      <w:tr w:rsidR="00C756E6" w:rsidRPr="00C756E6" w:rsidTr="00D141CA">
        <w:trPr>
          <w:trHeight w:val="37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lang w:eastAsia="it-IT"/>
              </w:rPr>
            </w:pPr>
            <w:proofErr w:type="spellStart"/>
            <w:r w:rsidRPr="00C756E6">
              <w:rPr>
                <w:rFonts w:ascii="Arial" w:eastAsia="Times New Roman" w:hAnsi="Arial" w:cs="Arial"/>
                <w:b/>
                <w:bCs/>
                <w:color w:val="000000"/>
                <w:kern w:val="24"/>
                <w:lang w:eastAsia="it-IT"/>
              </w:rPr>
              <w:t>Apgar</w:t>
            </w:r>
            <w:proofErr w:type="spellEnd"/>
            <w:r w:rsidRPr="00C756E6">
              <w:rPr>
                <w:rFonts w:ascii="Arial" w:eastAsia="Times New Roman" w:hAnsi="Arial" w:cs="Arial"/>
                <w:b/>
                <w:bCs/>
                <w:color w:val="000000"/>
                <w:kern w:val="24"/>
                <w:lang w:eastAsia="it-IT"/>
              </w:rPr>
              <w:t>&lt;7</w:t>
            </w: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2,05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kern w:val="24"/>
                <w:lang w:eastAsia="it-IT"/>
              </w:rPr>
              <w:t>=</w:t>
            </w:r>
          </w:p>
        </w:tc>
      </w:tr>
      <w:tr w:rsidR="00C756E6" w:rsidRPr="00C756E6" w:rsidTr="00D141CA">
        <w:trPr>
          <w:trHeight w:val="7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B6A4F" w:rsidRPr="00C756E6" w:rsidRDefault="001B6A4F" w:rsidP="001B6A4F">
            <w:pPr>
              <w:spacing w:after="0" w:line="240" w:lineRule="auto"/>
              <w:rPr>
                <w:rFonts w:ascii="Arial" w:eastAsia="Times New Roman" w:hAnsi="Arial" w:cs="Arial"/>
                <w:lang w:eastAsia="it-IT"/>
              </w:rPr>
            </w:pPr>
          </w:p>
        </w:tc>
        <w:tc>
          <w:tcPr>
            <w:tcW w:w="1805"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textAlignment w:val="bottom"/>
              <w:rPr>
                <w:rFonts w:ascii="Arial" w:eastAsia="Times New Roman" w:hAnsi="Arial" w:cs="Arial"/>
                <w:b/>
                <w:bCs/>
                <w:color w:val="000000"/>
                <w:kern w:val="24"/>
                <w:lang w:eastAsia="it-IT"/>
              </w:rPr>
            </w:pPr>
            <w:r w:rsidRPr="00C756E6">
              <w:rPr>
                <w:rFonts w:ascii="Arial" w:eastAsia="Times New Roman" w:hAnsi="Arial" w:cs="Arial"/>
                <w:b/>
                <w:bCs/>
                <w:color w:val="000000"/>
                <w:kern w:val="24"/>
                <w:lang w:eastAsia="it-IT"/>
              </w:rPr>
              <w:t>Allattato al 4 bilancio vs non allattato</w:t>
            </w:r>
          </w:p>
          <w:p w:rsidR="001B6A4F" w:rsidRPr="00C756E6" w:rsidRDefault="001B6A4F" w:rsidP="001B6A4F">
            <w:pPr>
              <w:spacing w:after="0" w:line="240" w:lineRule="auto"/>
              <w:textAlignment w:val="bottom"/>
              <w:rPr>
                <w:rFonts w:ascii="Arial" w:eastAsia="Times New Roman" w:hAnsi="Arial" w:cs="Arial"/>
                <w:lang w:eastAsia="it-IT"/>
              </w:rPr>
            </w:pPr>
          </w:p>
        </w:tc>
        <w:tc>
          <w:tcPr>
            <w:tcW w:w="1149"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proofErr w:type="spellStart"/>
            <w:r w:rsidRPr="00C756E6">
              <w:rPr>
                <w:rFonts w:ascii="Arial" w:eastAsia="Times New Roman" w:hAnsi="Arial" w:cs="Arial"/>
                <w:b/>
                <w:bCs/>
                <w:kern w:val="24"/>
                <w:lang w:eastAsia="it-IT"/>
              </w:rPr>
              <w:t>nd</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1,99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4" w:type="dxa"/>
              <w:left w:w="14" w:type="dxa"/>
              <w:bottom w:w="0" w:type="dxa"/>
              <w:right w:w="14" w:type="dxa"/>
            </w:tcMar>
            <w:vAlign w:val="bottom"/>
            <w:hideMark/>
          </w:tcPr>
          <w:p w:rsidR="001B6A4F" w:rsidRPr="00C756E6" w:rsidRDefault="001B6A4F" w:rsidP="001B6A4F">
            <w:pPr>
              <w:spacing w:after="0" w:line="240" w:lineRule="auto"/>
              <w:jc w:val="center"/>
              <w:textAlignment w:val="bottom"/>
              <w:rPr>
                <w:rFonts w:ascii="Arial" w:eastAsia="Times New Roman" w:hAnsi="Arial" w:cs="Arial"/>
                <w:lang w:eastAsia="it-IT"/>
              </w:rPr>
            </w:pPr>
            <w:r w:rsidRPr="00C756E6">
              <w:rPr>
                <w:rFonts w:ascii="Arial" w:eastAsia="Times New Roman" w:hAnsi="Arial" w:cs="Arial"/>
                <w:b/>
                <w:bCs/>
                <w:kern w:val="24"/>
                <w:lang w:eastAsia="it-IT"/>
              </w:rPr>
              <w:t>1,46</w:t>
            </w:r>
          </w:p>
        </w:tc>
      </w:tr>
    </w:tbl>
    <w:p w:rsidR="00A216B7" w:rsidRPr="006123B0" w:rsidRDefault="00A216B7">
      <w:pPr>
        <w:rPr>
          <w:rFonts w:ascii="Arial" w:hAnsi="Arial" w:cs="Arial"/>
        </w:rPr>
      </w:pPr>
    </w:p>
    <w:sectPr w:rsidR="00A216B7" w:rsidRPr="006123B0" w:rsidSect="007151F1">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1F23" w:rsidRDefault="00A31F23" w:rsidP="0014003B">
      <w:pPr>
        <w:spacing w:after="0" w:line="240" w:lineRule="auto"/>
      </w:pPr>
      <w:r>
        <w:separator/>
      </w:r>
    </w:p>
  </w:endnote>
  <w:endnote w:type="continuationSeparator" w:id="0">
    <w:p w:rsidR="00A31F23" w:rsidRDefault="00A31F23" w:rsidP="001400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0371607"/>
      <w:docPartObj>
        <w:docPartGallery w:val="Page Numbers (Bottom of Page)"/>
        <w:docPartUnique/>
      </w:docPartObj>
    </w:sdtPr>
    <w:sdtEndPr/>
    <w:sdtContent>
      <w:p w:rsidR="00475D03" w:rsidRDefault="00475D03">
        <w:pPr>
          <w:pStyle w:val="Pidipagina"/>
          <w:jc w:val="center"/>
        </w:pPr>
        <w:r>
          <w:fldChar w:fldCharType="begin"/>
        </w:r>
        <w:r>
          <w:instrText>PAGE   \* MERGEFORMAT</w:instrText>
        </w:r>
        <w:r>
          <w:fldChar w:fldCharType="separate"/>
        </w:r>
        <w:r w:rsidR="00644D4E">
          <w:rPr>
            <w:noProof/>
          </w:rPr>
          <w:t>15</w:t>
        </w:r>
        <w:r>
          <w:rPr>
            <w:noProof/>
          </w:rPr>
          <w:fldChar w:fldCharType="end"/>
        </w:r>
      </w:p>
    </w:sdtContent>
  </w:sdt>
  <w:p w:rsidR="00475D03" w:rsidRDefault="00475D0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1F23" w:rsidRDefault="00A31F23" w:rsidP="0014003B">
      <w:pPr>
        <w:spacing w:after="0" w:line="240" w:lineRule="auto"/>
      </w:pPr>
      <w:r>
        <w:separator/>
      </w:r>
    </w:p>
  </w:footnote>
  <w:footnote w:type="continuationSeparator" w:id="0">
    <w:p w:rsidR="00A31F23" w:rsidRDefault="00A31F23" w:rsidP="001400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4E6F02"/>
    <w:multiLevelType w:val="hybridMultilevel"/>
    <w:tmpl w:val="C366ADE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577F7A9B"/>
    <w:multiLevelType w:val="hybridMultilevel"/>
    <w:tmpl w:val="23605FE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567"/>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6AD6"/>
    <w:rsid w:val="00031B48"/>
    <w:rsid w:val="00034363"/>
    <w:rsid w:val="00055595"/>
    <w:rsid w:val="000576B5"/>
    <w:rsid w:val="00071D61"/>
    <w:rsid w:val="00071EEA"/>
    <w:rsid w:val="000A21D7"/>
    <w:rsid w:val="000A2E68"/>
    <w:rsid w:val="000C1726"/>
    <w:rsid w:val="000E023F"/>
    <w:rsid w:val="000E0586"/>
    <w:rsid w:val="000E255A"/>
    <w:rsid w:val="000F67C3"/>
    <w:rsid w:val="0010672E"/>
    <w:rsid w:val="001212D1"/>
    <w:rsid w:val="0012524A"/>
    <w:rsid w:val="00131D5F"/>
    <w:rsid w:val="00133DE1"/>
    <w:rsid w:val="0014003B"/>
    <w:rsid w:val="00153342"/>
    <w:rsid w:val="001545AC"/>
    <w:rsid w:val="00154F26"/>
    <w:rsid w:val="001718F5"/>
    <w:rsid w:val="00176DB0"/>
    <w:rsid w:val="00177F9E"/>
    <w:rsid w:val="0018251E"/>
    <w:rsid w:val="001833A1"/>
    <w:rsid w:val="0018486F"/>
    <w:rsid w:val="001A27C6"/>
    <w:rsid w:val="001A39B8"/>
    <w:rsid w:val="001A75EE"/>
    <w:rsid w:val="001B6A4F"/>
    <w:rsid w:val="001C1ACA"/>
    <w:rsid w:val="001D57FC"/>
    <w:rsid w:val="001E06FD"/>
    <w:rsid w:val="001E4FCF"/>
    <w:rsid w:val="001F01CC"/>
    <w:rsid w:val="001F65A9"/>
    <w:rsid w:val="00213E31"/>
    <w:rsid w:val="00225FD8"/>
    <w:rsid w:val="00231B39"/>
    <w:rsid w:val="002345B5"/>
    <w:rsid w:val="00235887"/>
    <w:rsid w:val="002755FC"/>
    <w:rsid w:val="002A066D"/>
    <w:rsid w:val="002A1F40"/>
    <w:rsid w:val="002A23C5"/>
    <w:rsid w:val="002A69AA"/>
    <w:rsid w:val="002B136A"/>
    <w:rsid w:val="002B38D7"/>
    <w:rsid w:val="002F0E1B"/>
    <w:rsid w:val="002F1653"/>
    <w:rsid w:val="002F2C75"/>
    <w:rsid w:val="003038AA"/>
    <w:rsid w:val="00304FB2"/>
    <w:rsid w:val="00315930"/>
    <w:rsid w:val="00315F0D"/>
    <w:rsid w:val="00327989"/>
    <w:rsid w:val="00334CDB"/>
    <w:rsid w:val="003442AE"/>
    <w:rsid w:val="00347949"/>
    <w:rsid w:val="00355693"/>
    <w:rsid w:val="00364762"/>
    <w:rsid w:val="00374826"/>
    <w:rsid w:val="0038494F"/>
    <w:rsid w:val="00390F79"/>
    <w:rsid w:val="00396826"/>
    <w:rsid w:val="003A239D"/>
    <w:rsid w:val="003A240A"/>
    <w:rsid w:val="003B0E4B"/>
    <w:rsid w:val="003C313F"/>
    <w:rsid w:val="003D0676"/>
    <w:rsid w:val="003D29DB"/>
    <w:rsid w:val="003D2DCE"/>
    <w:rsid w:val="003F66E4"/>
    <w:rsid w:val="00407876"/>
    <w:rsid w:val="00412EC7"/>
    <w:rsid w:val="004131C9"/>
    <w:rsid w:val="00424C8F"/>
    <w:rsid w:val="00426017"/>
    <w:rsid w:val="00427767"/>
    <w:rsid w:val="00435F63"/>
    <w:rsid w:val="00456A8E"/>
    <w:rsid w:val="00464F21"/>
    <w:rsid w:val="00475D03"/>
    <w:rsid w:val="0048311B"/>
    <w:rsid w:val="00492F2E"/>
    <w:rsid w:val="004C0DA2"/>
    <w:rsid w:val="004C2241"/>
    <w:rsid w:val="004C24A5"/>
    <w:rsid w:val="004D0A31"/>
    <w:rsid w:val="004D0DC6"/>
    <w:rsid w:val="004D492F"/>
    <w:rsid w:val="004E3B48"/>
    <w:rsid w:val="004E4FFF"/>
    <w:rsid w:val="004F09E7"/>
    <w:rsid w:val="004F0A27"/>
    <w:rsid w:val="004F618B"/>
    <w:rsid w:val="00507936"/>
    <w:rsid w:val="0051534D"/>
    <w:rsid w:val="00515468"/>
    <w:rsid w:val="00522D01"/>
    <w:rsid w:val="00536811"/>
    <w:rsid w:val="0056419E"/>
    <w:rsid w:val="00575FC1"/>
    <w:rsid w:val="005856D3"/>
    <w:rsid w:val="00594670"/>
    <w:rsid w:val="005A2F77"/>
    <w:rsid w:val="005B69A3"/>
    <w:rsid w:val="005D38E3"/>
    <w:rsid w:val="005E01CF"/>
    <w:rsid w:val="005E77D3"/>
    <w:rsid w:val="006008B4"/>
    <w:rsid w:val="00604FFD"/>
    <w:rsid w:val="006123B0"/>
    <w:rsid w:val="00625D2F"/>
    <w:rsid w:val="00626828"/>
    <w:rsid w:val="006326AD"/>
    <w:rsid w:val="006339FE"/>
    <w:rsid w:val="0063432E"/>
    <w:rsid w:val="00640C06"/>
    <w:rsid w:val="006411E7"/>
    <w:rsid w:val="00644D4E"/>
    <w:rsid w:val="006567C0"/>
    <w:rsid w:val="00660C9E"/>
    <w:rsid w:val="00670B71"/>
    <w:rsid w:val="00681CA9"/>
    <w:rsid w:val="00684C0D"/>
    <w:rsid w:val="0068678E"/>
    <w:rsid w:val="006976AA"/>
    <w:rsid w:val="006A0427"/>
    <w:rsid w:val="006A5DE3"/>
    <w:rsid w:val="006A7DCF"/>
    <w:rsid w:val="006B5210"/>
    <w:rsid w:val="006C3155"/>
    <w:rsid w:val="006D77C5"/>
    <w:rsid w:val="006E0B58"/>
    <w:rsid w:val="006F1889"/>
    <w:rsid w:val="006F7C40"/>
    <w:rsid w:val="00711680"/>
    <w:rsid w:val="007145F8"/>
    <w:rsid w:val="007151F1"/>
    <w:rsid w:val="00741A10"/>
    <w:rsid w:val="0074408C"/>
    <w:rsid w:val="007563F8"/>
    <w:rsid w:val="00757AFC"/>
    <w:rsid w:val="00762BC9"/>
    <w:rsid w:val="0076366F"/>
    <w:rsid w:val="00765A50"/>
    <w:rsid w:val="0078714C"/>
    <w:rsid w:val="007965B5"/>
    <w:rsid w:val="007A61B4"/>
    <w:rsid w:val="007A67FD"/>
    <w:rsid w:val="007D7770"/>
    <w:rsid w:val="007F49C3"/>
    <w:rsid w:val="007F74D0"/>
    <w:rsid w:val="0080666D"/>
    <w:rsid w:val="00807164"/>
    <w:rsid w:val="008145BE"/>
    <w:rsid w:val="00826B8E"/>
    <w:rsid w:val="00847D5E"/>
    <w:rsid w:val="0086437A"/>
    <w:rsid w:val="00881FB9"/>
    <w:rsid w:val="0088329B"/>
    <w:rsid w:val="00894C46"/>
    <w:rsid w:val="00896F6F"/>
    <w:rsid w:val="008A7504"/>
    <w:rsid w:val="008A7B23"/>
    <w:rsid w:val="008E257F"/>
    <w:rsid w:val="008E7CD9"/>
    <w:rsid w:val="009208F4"/>
    <w:rsid w:val="009557E0"/>
    <w:rsid w:val="009817D6"/>
    <w:rsid w:val="00986440"/>
    <w:rsid w:val="009B4CB9"/>
    <w:rsid w:val="009D0672"/>
    <w:rsid w:val="009D57A7"/>
    <w:rsid w:val="009D5CE2"/>
    <w:rsid w:val="009E285F"/>
    <w:rsid w:val="00A216B7"/>
    <w:rsid w:val="00A230C7"/>
    <w:rsid w:val="00A31F23"/>
    <w:rsid w:val="00A32A83"/>
    <w:rsid w:val="00A52544"/>
    <w:rsid w:val="00A54C79"/>
    <w:rsid w:val="00A56962"/>
    <w:rsid w:val="00A63E53"/>
    <w:rsid w:val="00A646E0"/>
    <w:rsid w:val="00A652E7"/>
    <w:rsid w:val="00A75BCA"/>
    <w:rsid w:val="00A8629C"/>
    <w:rsid w:val="00A90033"/>
    <w:rsid w:val="00A96DC3"/>
    <w:rsid w:val="00AB3C23"/>
    <w:rsid w:val="00AC76D5"/>
    <w:rsid w:val="00AE6320"/>
    <w:rsid w:val="00B0015D"/>
    <w:rsid w:val="00B161AA"/>
    <w:rsid w:val="00B22246"/>
    <w:rsid w:val="00B30776"/>
    <w:rsid w:val="00B3614D"/>
    <w:rsid w:val="00B421B7"/>
    <w:rsid w:val="00B4336D"/>
    <w:rsid w:val="00B46357"/>
    <w:rsid w:val="00B66158"/>
    <w:rsid w:val="00B66D66"/>
    <w:rsid w:val="00B72FF4"/>
    <w:rsid w:val="00BA153A"/>
    <w:rsid w:val="00BB130B"/>
    <w:rsid w:val="00BB1967"/>
    <w:rsid w:val="00BC3C4C"/>
    <w:rsid w:val="00C00DBE"/>
    <w:rsid w:val="00C012FD"/>
    <w:rsid w:val="00C30EE2"/>
    <w:rsid w:val="00C3481E"/>
    <w:rsid w:val="00C53EE6"/>
    <w:rsid w:val="00C642CB"/>
    <w:rsid w:val="00C756E6"/>
    <w:rsid w:val="00C75D98"/>
    <w:rsid w:val="00C91039"/>
    <w:rsid w:val="00C92649"/>
    <w:rsid w:val="00C92806"/>
    <w:rsid w:val="00CB0DCC"/>
    <w:rsid w:val="00CE54DA"/>
    <w:rsid w:val="00D0011F"/>
    <w:rsid w:val="00D02400"/>
    <w:rsid w:val="00D141CA"/>
    <w:rsid w:val="00D22772"/>
    <w:rsid w:val="00D2564E"/>
    <w:rsid w:val="00D40750"/>
    <w:rsid w:val="00D53268"/>
    <w:rsid w:val="00D6063C"/>
    <w:rsid w:val="00D621AD"/>
    <w:rsid w:val="00D760FA"/>
    <w:rsid w:val="00D76F83"/>
    <w:rsid w:val="00D92B4F"/>
    <w:rsid w:val="00D9360A"/>
    <w:rsid w:val="00D93BD4"/>
    <w:rsid w:val="00DA488C"/>
    <w:rsid w:val="00DB3311"/>
    <w:rsid w:val="00DC57E0"/>
    <w:rsid w:val="00DD4C79"/>
    <w:rsid w:val="00DE150A"/>
    <w:rsid w:val="00DF0EA8"/>
    <w:rsid w:val="00DF0F2E"/>
    <w:rsid w:val="00E11D79"/>
    <w:rsid w:val="00E21777"/>
    <w:rsid w:val="00E26B03"/>
    <w:rsid w:val="00E316A8"/>
    <w:rsid w:val="00E414C4"/>
    <w:rsid w:val="00E43BE4"/>
    <w:rsid w:val="00E45150"/>
    <w:rsid w:val="00E52FF1"/>
    <w:rsid w:val="00E5642C"/>
    <w:rsid w:val="00E663EF"/>
    <w:rsid w:val="00E74D2B"/>
    <w:rsid w:val="00E82439"/>
    <w:rsid w:val="00EA1392"/>
    <w:rsid w:val="00EA5B49"/>
    <w:rsid w:val="00EB2487"/>
    <w:rsid w:val="00EB3229"/>
    <w:rsid w:val="00EC2572"/>
    <w:rsid w:val="00EC602F"/>
    <w:rsid w:val="00ED6D3A"/>
    <w:rsid w:val="00EE4BAB"/>
    <w:rsid w:val="00EF6AD6"/>
    <w:rsid w:val="00F02793"/>
    <w:rsid w:val="00F14AF1"/>
    <w:rsid w:val="00F22B7B"/>
    <w:rsid w:val="00F22CB2"/>
    <w:rsid w:val="00F26903"/>
    <w:rsid w:val="00F42AD6"/>
    <w:rsid w:val="00F65532"/>
    <w:rsid w:val="00F70B20"/>
    <w:rsid w:val="00FA6E16"/>
    <w:rsid w:val="00FB21CB"/>
    <w:rsid w:val="00FB38FE"/>
    <w:rsid w:val="00FB3A31"/>
    <w:rsid w:val="00FC74D0"/>
    <w:rsid w:val="00FE3D36"/>
    <w:rsid w:val="00FF5B0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EF6AD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6AD6"/>
    <w:rPr>
      <w:rFonts w:ascii="Tahoma" w:hAnsi="Tahoma" w:cs="Tahoma"/>
      <w:sz w:val="16"/>
      <w:szCs w:val="16"/>
    </w:rPr>
  </w:style>
  <w:style w:type="paragraph" w:styleId="Paragrafoelenco">
    <w:name w:val="List Paragraph"/>
    <w:basedOn w:val="Normale"/>
    <w:uiPriority w:val="34"/>
    <w:qFormat/>
    <w:rsid w:val="00C75D98"/>
    <w:pPr>
      <w:ind w:left="720"/>
      <w:contextualSpacing/>
    </w:pPr>
  </w:style>
  <w:style w:type="paragraph" w:styleId="Nessunaspaziatura">
    <w:name w:val="No Spacing"/>
    <w:uiPriority w:val="1"/>
    <w:qFormat/>
    <w:rsid w:val="00AB3C23"/>
    <w:pPr>
      <w:spacing w:after="0" w:line="240" w:lineRule="auto"/>
    </w:pPr>
  </w:style>
  <w:style w:type="paragraph" w:styleId="Intestazione">
    <w:name w:val="header"/>
    <w:basedOn w:val="Normale"/>
    <w:link w:val="IntestazioneCarattere"/>
    <w:uiPriority w:val="99"/>
    <w:unhideWhenUsed/>
    <w:rsid w:val="0014003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4003B"/>
  </w:style>
  <w:style w:type="paragraph" w:styleId="Pidipagina">
    <w:name w:val="footer"/>
    <w:basedOn w:val="Normale"/>
    <w:link w:val="PidipaginaCarattere"/>
    <w:uiPriority w:val="99"/>
    <w:unhideWhenUsed/>
    <w:rsid w:val="0014003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4003B"/>
  </w:style>
  <w:style w:type="paragraph" w:styleId="NormaleWeb">
    <w:name w:val="Normal (Web)"/>
    <w:basedOn w:val="Normale"/>
    <w:uiPriority w:val="99"/>
    <w:unhideWhenUsed/>
    <w:rsid w:val="00AE6320"/>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EF6AD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6AD6"/>
    <w:rPr>
      <w:rFonts w:ascii="Tahoma" w:hAnsi="Tahoma" w:cs="Tahoma"/>
      <w:sz w:val="16"/>
      <w:szCs w:val="16"/>
    </w:rPr>
  </w:style>
  <w:style w:type="paragraph" w:styleId="Paragrafoelenco">
    <w:name w:val="List Paragraph"/>
    <w:basedOn w:val="Normale"/>
    <w:uiPriority w:val="34"/>
    <w:qFormat/>
    <w:rsid w:val="00C75D98"/>
    <w:pPr>
      <w:ind w:left="720"/>
      <w:contextualSpacing/>
    </w:pPr>
  </w:style>
  <w:style w:type="paragraph" w:styleId="Nessunaspaziatura">
    <w:name w:val="No Spacing"/>
    <w:uiPriority w:val="1"/>
    <w:qFormat/>
    <w:rsid w:val="00AB3C23"/>
    <w:pPr>
      <w:spacing w:after="0" w:line="240" w:lineRule="auto"/>
    </w:pPr>
  </w:style>
  <w:style w:type="paragraph" w:styleId="Intestazione">
    <w:name w:val="header"/>
    <w:basedOn w:val="Normale"/>
    <w:link w:val="IntestazioneCarattere"/>
    <w:uiPriority w:val="99"/>
    <w:unhideWhenUsed/>
    <w:rsid w:val="0014003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4003B"/>
  </w:style>
  <w:style w:type="paragraph" w:styleId="Pidipagina">
    <w:name w:val="footer"/>
    <w:basedOn w:val="Normale"/>
    <w:link w:val="PidipaginaCarattere"/>
    <w:uiPriority w:val="99"/>
    <w:unhideWhenUsed/>
    <w:rsid w:val="0014003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4003B"/>
  </w:style>
  <w:style w:type="paragraph" w:styleId="NormaleWeb">
    <w:name w:val="Normal (Web)"/>
    <w:basedOn w:val="Normale"/>
    <w:uiPriority w:val="99"/>
    <w:unhideWhenUsed/>
    <w:rsid w:val="00AE6320"/>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00256">
      <w:bodyDiv w:val="1"/>
      <w:marLeft w:val="0"/>
      <w:marRight w:val="0"/>
      <w:marTop w:val="0"/>
      <w:marBottom w:val="0"/>
      <w:divBdr>
        <w:top w:val="none" w:sz="0" w:space="0" w:color="auto"/>
        <w:left w:val="none" w:sz="0" w:space="0" w:color="auto"/>
        <w:bottom w:val="none" w:sz="0" w:space="0" w:color="auto"/>
        <w:right w:val="none" w:sz="0" w:space="0" w:color="auto"/>
      </w:divBdr>
    </w:div>
    <w:div w:id="146629546">
      <w:bodyDiv w:val="1"/>
      <w:marLeft w:val="0"/>
      <w:marRight w:val="0"/>
      <w:marTop w:val="0"/>
      <w:marBottom w:val="0"/>
      <w:divBdr>
        <w:top w:val="none" w:sz="0" w:space="0" w:color="auto"/>
        <w:left w:val="none" w:sz="0" w:space="0" w:color="auto"/>
        <w:bottom w:val="none" w:sz="0" w:space="0" w:color="auto"/>
        <w:right w:val="none" w:sz="0" w:space="0" w:color="auto"/>
      </w:divBdr>
    </w:div>
    <w:div w:id="166528055">
      <w:bodyDiv w:val="1"/>
      <w:marLeft w:val="0"/>
      <w:marRight w:val="0"/>
      <w:marTop w:val="0"/>
      <w:marBottom w:val="0"/>
      <w:divBdr>
        <w:top w:val="none" w:sz="0" w:space="0" w:color="auto"/>
        <w:left w:val="none" w:sz="0" w:space="0" w:color="auto"/>
        <w:bottom w:val="none" w:sz="0" w:space="0" w:color="auto"/>
        <w:right w:val="none" w:sz="0" w:space="0" w:color="auto"/>
      </w:divBdr>
    </w:div>
    <w:div w:id="241380567">
      <w:bodyDiv w:val="1"/>
      <w:marLeft w:val="0"/>
      <w:marRight w:val="0"/>
      <w:marTop w:val="0"/>
      <w:marBottom w:val="0"/>
      <w:divBdr>
        <w:top w:val="none" w:sz="0" w:space="0" w:color="auto"/>
        <w:left w:val="none" w:sz="0" w:space="0" w:color="auto"/>
        <w:bottom w:val="none" w:sz="0" w:space="0" w:color="auto"/>
        <w:right w:val="none" w:sz="0" w:space="0" w:color="auto"/>
      </w:divBdr>
    </w:div>
    <w:div w:id="245498264">
      <w:bodyDiv w:val="1"/>
      <w:marLeft w:val="0"/>
      <w:marRight w:val="0"/>
      <w:marTop w:val="0"/>
      <w:marBottom w:val="0"/>
      <w:divBdr>
        <w:top w:val="none" w:sz="0" w:space="0" w:color="auto"/>
        <w:left w:val="none" w:sz="0" w:space="0" w:color="auto"/>
        <w:bottom w:val="none" w:sz="0" w:space="0" w:color="auto"/>
        <w:right w:val="none" w:sz="0" w:space="0" w:color="auto"/>
      </w:divBdr>
    </w:div>
    <w:div w:id="277638356">
      <w:bodyDiv w:val="1"/>
      <w:marLeft w:val="0"/>
      <w:marRight w:val="0"/>
      <w:marTop w:val="0"/>
      <w:marBottom w:val="0"/>
      <w:divBdr>
        <w:top w:val="none" w:sz="0" w:space="0" w:color="auto"/>
        <w:left w:val="none" w:sz="0" w:space="0" w:color="auto"/>
        <w:bottom w:val="none" w:sz="0" w:space="0" w:color="auto"/>
        <w:right w:val="none" w:sz="0" w:space="0" w:color="auto"/>
      </w:divBdr>
    </w:div>
    <w:div w:id="293995861">
      <w:bodyDiv w:val="1"/>
      <w:marLeft w:val="0"/>
      <w:marRight w:val="0"/>
      <w:marTop w:val="0"/>
      <w:marBottom w:val="0"/>
      <w:divBdr>
        <w:top w:val="none" w:sz="0" w:space="0" w:color="auto"/>
        <w:left w:val="none" w:sz="0" w:space="0" w:color="auto"/>
        <w:bottom w:val="none" w:sz="0" w:space="0" w:color="auto"/>
        <w:right w:val="none" w:sz="0" w:space="0" w:color="auto"/>
      </w:divBdr>
    </w:div>
    <w:div w:id="332340593">
      <w:bodyDiv w:val="1"/>
      <w:marLeft w:val="0"/>
      <w:marRight w:val="0"/>
      <w:marTop w:val="0"/>
      <w:marBottom w:val="0"/>
      <w:divBdr>
        <w:top w:val="none" w:sz="0" w:space="0" w:color="auto"/>
        <w:left w:val="none" w:sz="0" w:space="0" w:color="auto"/>
        <w:bottom w:val="none" w:sz="0" w:space="0" w:color="auto"/>
        <w:right w:val="none" w:sz="0" w:space="0" w:color="auto"/>
      </w:divBdr>
    </w:div>
    <w:div w:id="333070044">
      <w:bodyDiv w:val="1"/>
      <w:marLeft w:val="0"/>
      <w:marRight w:val="0"/>
      <w:marTop w:val="0"/>
      <w:marBottom w:val="0"/>
      <w:divBdr>
        <w:top w:val="none" w:sz="0" w:space="0" w:color="auto"/>
        <w:left w:val="none" w:sz="0" w:space="0" w:color="auto"/>
        <w:bottom w:val="none" w:sz="0" w:space="0" w:color="auto"/>
        <w:right w:val="none" w:sz="0" w:space="0" w:color="auto"/>
      </w:divBdr>
    </w:div>
    <w:div w:id="451751852">
      <w:bodyDiv w:val="1"/>
      <w:marLeft w:val="0"/>
      <w:marRight w:val="0"/>
      <w:marTop w:val="0"/>
      <w:marBottom w:val="0"/>
      <w:divBdr>
        <w:top w:val="none" w:sz="0" w:space="0" w:color="auto"/>
        <w:left w:val="none" w:sz="0" w:space="0" w:color="auto"/>
        <w:bottom w:val="none" w:sz="0" w:space="0" w:color="auto"/>
        <w:right w:val="none" w:sz="0" w:space="0" w:color="auto"/>
      </w:divBdr>
    </w:div>
    <w:div w:id="584342180">
      <w:bodyDiv w:val="1"/>
      <w:marLeft w:val="0"/>
      <w:marRight w:val="0"/>
      <w:marTop w:val="0"/>
      <w:marBottom w:val="0"/>
      <w:divBdr>
        <w:top w:val="none" w:sz="0" w:space="0" w:color="auto"/>
        <w:left w:val="none" w:sz="0" w:space="0" w:color="auto"/>
        <w:bottom w:val="none" w:sz="0" w:space="0" w:color="auto"/>
        <w:right w:val="none" w:sz="0" w:space="0" w:color="auto"/>
      </w:divBdr>
    </w:div>
    <w:div w:id="765921562">
      <w:bodyDiv w:val="1"/>
      <w:marLeft w:val="0"/>
      <w:marRight w:val="0"/>
      <w:marTop w:val="0"/>
      <w:marBottom w:val="0"/>
      <w:divBdr>
        <w:top w:val="none" w:sz="0" w:space="0" w:color="auto"/>
        <w:left w:val="none" w:sz="0" w:space="0" w:color="auto"/>
        <w:bottom w:val="none" w:sz="0" w:space="0" w:color="auto"/>
        <w:right w:val="none" w:sz="0" w:space="0" w:color="auto"/>
      </w:divBdr>
    </w:div>
    <w:div w:id="930626369">
      <w:bodyDiv w:val="1"/>
      <w:marLeft w:val="0"/>
      <w:marRight w:val="0"/>
      <w:marTop w:val="0"/>
      <w:marBottom w:val="0"/>
      <w:divBdr>
        <w:top w:val="none" w:sz="0" w:space="0" w:color="auto"/>
        <w:left w:val="none" w:sz="0" w:space="0" w:color="auto"/>
        <w:bottom w:val="none" w:sz="0" w:space="0" w:color="auto"/>
        <w:right w:val="none" w:sz="0" w:space="0" w:color="auto"/>
      </w:divBdr>
    </w:div>
    <w:div w:id="1033194886">
      <w:bodyDiv w:val="1"/>
      <w:marLeft w:val="0"/>
      <w:marRight w:val="0"/>
      <w:marTop w:val="0"/>
      <w:marBottom w:val="0"/>
      <w:divBdr>
        <w:top w:val="none" w:sz="0" w:space="0" w:color="auto"/>
        <w:left w:val="none" w:sz="0" w:space="0" w:color="auto"/>
        <w:bottom w:val="none" w:sz="0" w:space="0" w:color="auto"/>
        <w:right w:val="none" w:sz="0" w:space="0" w:color="auto"/>
      </w:divBdr>
    </w:div>
    <w:div w:id="1253666246">
      <w:bodyDiv w:val="1"/>
      <w:marLeft w:val="0"/>
      <w:marRight w:val="0"/>
      <w:marTop w:val="0"/>
      <w:marBottom w:val="0"/>
      <w:divBdr>
        <w:top w:val="none" w:sz="0" w:space="0" w:color="auto"/>
        <w:left w:val="none" w:sz="0" w:space="0" w:color="auto"/>
        <w:bottom w:val="none" w:sz="0" w:space="0" w:color="auto"/>
        <w:right w:val="none" w:sz="0" w:space="0" w:color="auto"/>
      </w:divBdr>
    </w:div>
    <w:div w:id="1489206305">
      <w:bodyDiv w:val="1"/>
      <w:marLeft w:val="0"/>
      <w:marRight w:val="0"/>
      <w:marTop w:val="0"/>
      <w:marBottom w:val="0"/>
      <w:divBdr>
        <w:top w:val="none" w:sz="0" w:space="0" w:color="auto"/>
        <w:left w:val="none" w:sz="0" w:space="0" w:color="auto"/>
        <w:bottom w:val="none" w:sz="0" w:space="0" w:color="auto"/>
        <w:right w:val="none" w:sz="0" w:space="0" w:color="auto"/>
      </w:divBdr>
    </w:div>
    <w:div w:id="1611352281">
      <w:bodyDiv w:val="1"/>
      <w:marLeft w:val="0"/>
      <w:marRight w:val="0"/>
      <w:marTop w:val="0"/>
      <w:marBottom w:val="0"/>
      <w:divBdr>
        <w:top w:val="none" w:sz="0" w:space="0" w:color="auto"/>
        <w:left w:val="none" w:sz="0" w:space="0" w:color="auto"/>
        <w:bottom w:val="none" w:sz="0" w:space="0" w:color="auto"/>
        <w:right w:val="none" w:sz="0" w:space="0" w:color="auto"/>
      </w:divBdr>
    </w:div>
    <w:div w:id="1700004429">
      <w:bodyDiv w:val="1"/>
      <w:marLeft w:val="0"/>
      <w:marRight w:val="0"/>
      <w:marTop w:val="0"/>
      <w:marBottom w:val="0"/>
      <w:divBdr>
        <w:top w:val="none" w:sz="0" w:space="0" w:color="auto"/>
        <w:left w:val="none" w:sz="0" w:space="0" w:color="auto"/>
        <w:bottom w:val="none" w:sz="0" w:space="0" w:color="auto"/>
        <w:right w:val="none" w:sz="0" w:space="0" w:color="auto"/>
      </w:divBdr>
    </w:div>
    <w:div w:id="1705714252">
      <w:bodyDiv w:val="1"/>
      <w:marLeft w:val="0"/>
      <w:marRight w:val="0"/>
      <w:marTop w:val="0"/>
      <w:marBottom w:val="0"/>
      <w:divBdr>
        <w:top w:val="none" w:sz="0" w:space="0" w:color="auto"/>
        <w:left w:val="none" w:sz="0" w:space="0" w:color="auto"/>
        <w:bottom w:val="none" w:sz="0" w:space="0" w:color="auto"/>
        <w:right w:val="none" w:sz="0" w:space="0" w:color="auto"/>
      </w:divBdr>
    </w:div>
    <w:div w:id="1778058057">
      <w:bodyDiv w:val="1"/>
      <w:marLeft w:val="0"/>
      <w:marRight w:val="0"/>
      <w:marTop w:val="0"/>
      <w:marBottom w:val="0"/>
      <w:divBdr>
        <w:top w:val="none" w:sz="0" w:space="0" w:color="auto"/>
        <w:left w:val="none" w:sz="0" w:space="0" w:color="auto"/>
        <w:bottom w:val="none" w:sz="0" w:space="0" w:color="auto"/>
        <w:right w:val="none" w:sz="0" w:space="0" w:color="auto"/>
      </w:divBdr>
    </w:div>
    <w:div w:id="1784953835">
      <w:bodyDiv w:val="1"/>
      <w:marLeft w:val="0"/>
      <w:marRight w:val="0"/>
      <w:marTop w:val="0"/>
      <w:marBottom w:val="0"/>
      <w:divBdr>
        <w:top w:val="none" w:sz="0" w:space="0" w:color="auto"/>
        <w:left w:val="none" w:sz="0" w:space="0" w:color="auto"/>
        <w:bottom w:val="none" w:sz="0" w:space="0" w:color="auto"/>
        <w:right w:val="none" w:sz="0" w:space="0" w:color="auto"/>
      </w:divBdr>
    </w:div>
    <w:div w:id="1802992409">
      <w:bodyDiv w:val="1"/>
      <w:marLeft w:val="0"/>
      <w:marRight w:val="0"/>
      <w:marTop w:val="0"/>
      <w:marBottom w:val="0"/>
      <w:divBdr>
        <w:top w:val="none" w:sz="0" w:space="0" w:color="auto"/>
        <w:left w:val="none" w:sz="0" w:space="0" w:color="auto"/>
        <w:bottom w:val="none" w:sz="0" w:space="0" w:color="auto"/>
        <w:right w:val="none" w:sz="0" w:space="0" w:color="auto"/>
      </w:divBdr>
    </w:div>
    <w:div w:id="1982464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chart" Target="charts/chart28.xml"/><Relationship Id="rId21" Type="http://schemas.openxmlformats.org/officeDocument/2006/relationships/chart" Target="charts/chart10.xml"/><Relationship Id="rId34" Type="http://schemas.openxmlformats.org/officeDocument/2006/relationships/chart" Target="charts/chart23.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chart" Target="charts/chart39.xml"/><Relationship Id="rId55" Type="http://schemas.openxmlformats.org/officeDocument/2006/relationships/chart" Target="charts/chart44.xml"/><Relationship Id="rId63" Type="http://schemas.openxmlformats.org/officeDocument/2006/relationships/chart" Target="charts/chart52.xml"/><Relationship Id="rId68" Type="http://schemas.openxmlformats.org/officeDocument/2006/relationships/chart" Target="charts/chart57.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chart" Target="charts/chart1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8" Type="http://schemas.openxmlformats.org/officeDocument/2006/relationships/chart" Target="charts/chart47.xml"/><Relationship Id="rId66" Type="http://schemas.openxmlformats.org/officeDocument/2006/relationships/chart" Target="charts/chart5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57" Type="http://schemas.openxmlformats.org/officeDocument/2006/relationships/chart" Target="charts/chart46.xml"/><Relationship Id="rId61" Type="http://schemas.openxmlformats.org/officeDocument/2006/relationships/chart" Target="charts/chart50.xml"/><Relationship Id="rId10" Type="http://schemas.openxmlformats.org/officeDocument/2006/relationships/chart" Target="charts/chart2.xml"/><Relationship Id="rId19" Type="http://schemas.openxmlformats.org/officeDocument/2006/relationships/chart" Target="charts/chart8.xml"/><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chart" Target="charts/chart49.xml"/><Relationship Id="rId65" Type="http://schemas.openxmlformats.org/officeDocument/2006/relationships/chart" Target="charts/chart54.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1.png"/><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chart" Target="charts/chart45.xml"/><Relationship Id="rId64" Type="http://schemas.openxmlformats.org/officeDocument/2006/relationships/chart" Target="charts/chart53.xml"/><Relationship Id="rId69" Type="http://schemas.openxmlformats.org/officeDocument/2006/relationships/chart" Target="charts/chart58.xml"/><Relationship Id="rId8" Type="http://schemas.openxmlformats.org/officeDocument/2006/relationships/endnotes" Target="endnotes.xml"/><Relationship Id="rId51" Type="http://schemas.openxmlformats.org/officeDocument/2006/relationships/chart" Target="charts/chart40.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chart" Target="charts/chart48.xml"/><Relationship Id="rId67" Type="http://schemas.openxmlformats.org/officeDocument/2006/relationships/chart" Target="charts/chart56.xml"/><Relationship Id="rId20" Type="http://schemas.openxmlformats.org/officeDocument/2006/relationships/chart" Target="charts/chart9.xml"/><Relationship Id="rId41" Type="http://schemas.openxmlformats.org/officeDocument/2006/relationships/chart" Target="charts/chart30.xml"/><Relationship Id="rId54" Type="http://schemas.openxmlformats.org/officeDocument/2006/relationships/chart" Target="charts/chart43.xml"/><Relationship Id="rId62" Type="http://schemas.openxmlformats.org/officeDocument/2006/relationships/chart" Target="charts/chart51.xml"/><Relationship Id="rId70"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4.xm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0.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1.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12.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3.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4.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15.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16.xml"/></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1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18.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19.xml"/></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20.xml"/></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21.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22.xml"/></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23.xml"/></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2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25.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2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27.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28.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29.xml"/></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Microsoft_Excel_Worksheet54.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Excel_Worksheet5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Popolazione ATS</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4.2535433070866199E-2"/>
                  <c:y val="-5.0404272382618895E-2"/>
                </c:manualLayout>
              </c:layout>
              <c:tx>
                <c:rich>
                  <a:bodyPr/>
                  <a:lstStyle/>
                  <a:p>
                    <a:r>
                      <a:rPr lang="en-US"/>
                      <a:t>CREMA 164.135</a:t>
                    </a:r>
                  </a:p>
                  <a:p>
                    <a:r>
                      <a:rPr lang="en-US"/>
                      <a:t> 21%</a:t>
                    </a:r>
                  </a:p>
                </c:rich>
              </c:tx>
              <c:showLegendKey val="0"/>
              <c:showVal val="1"/>
              <c:showCatName val="1"/>
              <c:showSerName val="0"/>
              <c:showPercent val="1"/>
              <c:showBubbleSize val="0"/>
            </c:dLbl>
            <c:dLbl>
              <c:idx val="1"/>
              <c:layout>
                <c:manualLayout>
                  <c:x val="8.3893263342082591E-3"/>
                  <c:y val="0.10469706911636045"/>
                </c:manualLayout>
              </c:layout>
              <c:tx>
                <c:rich>
                  <a:bodyPr/>
                  <a:lstStyle/>
                  <a:p>
                    <a:r>
                      <a:rPr lang="en-US"/>
                      <a:t>CREMONA 199.996 </a:t>
                    </a:r>
                  </a:p>
                  <a:p>
                    <a:r>
                      <a:rPr lang="en-US"/>
                      <a:t>26%</a:t>
                    </a:r>
                  </a:p>
                </c:rich>
              </c:tx>
              <c:showLegendKey val="0"/>
              <c:showVal val="1"/>
              <c:showCatName val="1"/>
              <c:showSerName val="0"/>
              <c:showPercent val="1"/>
              <c:showBubbleSize val="0"/>
            </c:dLbl>
            <c:dLbl>
              <c:idx val="2"/>
              <c:layout>
                <c:manualLayout>
                  <c:x val="1.316185476815401E-2"/>
                  <c:y val="-0.37420457859434297"/>
                </c:manualLayout>
              </c:layout>
              <c:tx>
                <c:rich>
                  <a:bodyPr/>
                  <a:lstStyle/>
                  <a:p>
                    <a:r>
                      <a:rPr lang="en-US"/>
                      <a:t>MANTOVA 414.016</a:t>
                    </a:r>
                  </a:p>
                  <a:p>
                    <a:r>
                      <a:rPr lang="en-US"/>
                      <a:t> 53%</a:t>
                    </a:r>
                  </a:p>
                </c:rich>
              </c:tx>
              <c:showLegendKey val="0"/>
              <c:showVal val="1"/>
              <c:showCatName val="1"/>
              <c:showSerName val="0"/>
              <c:showPercent val="1"/>
              <c:showBubbleSize val="0"/>
            </c:dLbl>
            <c:txPr>
              <a:bodyPr/>
              <a:lstStyle/>
              <a:p>
                <a:pPr>
                  <a:defRPr b="1"/>
                </a:pPr>
                <a:endParaRPr lang="it-IT"/>
              </a:p>
            </c:txPr>
            <c:showLegendKey val="0"/>
            <c:showVal val="1"/>
            <c:showCatName val="1"/>
            <c:showSerName val="0"/>
            <c:showPercent val="1"/>
            <c:showBubbleSize val="0"/>
            <c:showLeaderLines val="1"/>
          </c:dLbls>
          <c:cat>
            <c:strRef>
              <c:f>Foglio3!$A$29:$A$31</c:f>
              <c:strCache>
                <c:ptCount val="3"/>
                <c:pt idx="0">
                  <c:v>CREMA</c:v>
                </c:pt>
                <c:pt idx="1">
                  <c:v>CREMONA</c:v>
                </c:pt>
                <c:pt idx="2">
                  <c:v>MANTOVA</c:v>
                </c:pt>
              </c:strCache>
            </c:strRef>
          </c:cat>
          <c:val>
            <c:numRef>
              <c:f>Foglio3!$B$29:$B$31</c:f>
              <c:numCache>
                <c:formatCode>#,##0</c:formatCode>
                <c:ptCount val="3"/>
                <c:pt idx="0">
                  <c:v>164135</c:v>
                </c:pt>
                <c:pt idx="1">
                  <c:v>199996</c:v>
                </c:pt>
                <c:pt idx="2">
                  <c:v>414016</c:v>
                </c:pt>
              </c:numCache>
            </c:numRef>
          </c:val>
        </c:ser>
        <c:ser>
          <c:idx val="1"/>
          <c:order val="1"/>
          <c:explosion val="25"/>
          <c:dLbls>
            <c:showLegendKey val="0"/>
            <c:showVal val="0"/>
            <c:showCatName val="1"/>
            <c:showSerName val="0"/>
            <c:showPercent val="1"/>
            <c:showBubbleSize val="0"/>
            <c:showLeaderLines val="1"/>
          </c:dLbls>
          <c:cat>
            <c:strRef>
              <c:f>Foglio3!$A$29:$A$31</c:f>
              <c:strCache>
                <c:ptCount val="3"/>
                <c:pt idx="0">
                  <c:v>CREMA</c:v>
                </c:pt>
                <c:pt idx="1">
                  <c:v>CREMONA</c:v>
                </c:pt>
                <c:pt idx="2">
                  <c:v>MANTOVA</c:v>
                </c:pt>
              </c:strCache>
            </c:strRef>
          </c:cat>
          <c:val>
            <c:numRef>
              <c:f>Foglio3!$C$29:$C$31</c:f>
              <c:numCache>
                <c:formatCode>0.0</c:formatCode>
                <c:ptCount val="3"/>
                <c:pt idx="0">
                  <c:v>21.093058252489591</c:v>
                </c:pt>
                <c:pt idx="1">
                  <c:v>25.701570525877504</c:v>
                </c:pt>
                <c:pt idx="2">
                  <c:v>53.205371221632937</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M- Tutte le cause 0-14</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'RM bimbi'!$G$15</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'RM bimbi'!$F$16:$F$18</c:f>
              <c:strCache>
                <c:ptCount val="3"/>
                <c:pt idx="0">
                  <c:v>CREMA</c:v>
                </c:pt>
                <c:pt idx="1">
                  <c:v>CREMONA</c:v>
                </c:pt>
                <c:pt idx="2">
                  <c:v>MANTOVA</c:v>
                </c:pt>
              </c:strCache>
            </c:strRef>
          </c:cat>
          <c:val>
            <c:numRef>
              <c:f>'RM bimbi'!$G$16:$G$18</c:f>
              <c:numCache>
                <c:formatCode>0.0</c:formatCode>
                <c:ptCount val="3"/>
                <c:pt idx="0">
                  <c:v>23.39</c:v>
                </c:pt>
                <c:pt idx="1">
                  <c:v>27.310000000000027</c:v>
                </c:pt>
                <c:pt idx="2">
                  <c:v>26.73</c:v>
                </c:pt>
              </c:numCache>
            </c:numRef>
          </c:val>
        </c:ser>
        <c:ser>
          <c:idx val="1"/>
          <c:order val="1"/>
          <c:tx>
            <c:strRef>
              <c:f>'RM bimbi'!$H$15</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'RM bimbi'!$F$16:$F$18</c:f>
              <c:strCache>
                <c:ptCount val="3"/>
                <c:pt idx="0">
                  <c:v>CREMA</c:v>
                </c:pt>
                <c:pt idx="1">
                  <c:v>CREMONA</c:v>
                </c:pt>
                <c:pt idx="2">
                  <c:v>MANTOVA</c:v>
                </c:pt>
              </c:strCache>
            </c:strRef>
          </c:cat>
          <c:val>
            <c:numRef>
              <c:f>'RM bimbi'!$H$16:$H$18</c:f>
              <c:numCache>
                <c:formatCode>0.0</c:formatCode>
                <c:ptCount val="3"/>
                <c:pt idx="0">
                  <c:v>28.09</c:v>
                </c:pt>
                <c:pt idx="1">
                  <c:v>25.959999999999987</c:v>
                </c:pt>
                <c:pt idx="2">
                  <c:v>31.77</c:v>
                </c:pt>
              </c:numCache>
            </c:numRef>
          </c:val>
        </c:ser>
        <c:dLbls>
          <c:showLegendKey val="0"/>
          <c:showVal val="0"/>
          <c:showCatName val="0"/>
          <c:showSerName val="0"/>
          <c:showPercent val="0"/>
          <c:showBubbleSize val="0"/>
        </c:dLbls>
        <c:gapWidth val="150"/>
        <c:shape val="box"/>
        <c:axId val="222017792"/>
        <c:axId val="222027776"/>
        <c:axId val="0"/>
      </c:bar3DChart>
      <c:catAx>
        <c:axId val="222017792"/>
        <c:scaling>
          <c:orientation val="minMax"/>
        </c:scaling>
        <c:delete val="0"/>
        <c:axPos val="l"/>
        <c:numFmt formatCode="General" sourceLinked="0"/>
        <c:majorTickMark val="none"/>
        <c:minorTickMark val="none"/>
        <c:tickLblPos val="nextTo"/>
        <c:txPr>
          <a:bodyPr/>
          <a:lstStyle/>
          <a:p>
            <a:pPr>
              <a:defRPr sz="800" b="1"/>
            </a:pPr>
            <a:endParaRPr lang="it-IT"/>
          </a:p>
        </c:txPr>
        <c:crossAx val="222027776"/>
        <c:crosses val="autoZero"/>
        <c:auto val="1"/>
        <c:lblAlgn val="ctr"/>
        <c:lblOffset val="100"/>
        <c:noMultiLvlLbl val="0"/>
      </c:catAx>
      <c:valAx>
        <c:axId val="22202777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2017792"/>
        <c:crosses val="autoZero"/>
        <c:crossBetween val="between"/>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H- Traumatismi e avvelenamenti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OSPEDALIZZAZIONE'!$R$3</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14,2*</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'GRAFICI OSPEDALIZZAZIONE'!$Q$4:$Q$6</c:f>
              <c:strCache>
                <c:ptCount val="3"/>
                <c:pt idx="0">
                  <c:v>CREMA</c:v>
                </c:pt>
                <c:pt idx="1">
                  <c:v>CREMONA</c:v>
                </c:pt>
                <c:pt idx="2">
                  <c:v>MANTOVA</c:v>
                </c:pt>
              </c:strCache>
            </c:strRef>
          </c:cat>
          <c:val>
            <c:numRef>
              <c:f>'GRAFICI OSPEDALIZZAZIONE'!$R$4:$R$6</c:f>
              <c:numCache>
                <c:formatCode>0.0</c:formatCode>
                <c:ptCount val="3"/>
                <c:pt idx="0">
                  <c:v>11.23</c:v>
                </c:pt>
                <c:pt idx="1">
                  <c:v>13.02</c:v>
                </c:pt>
                <c:pt idx="2">
                  <c:v>14.18</c:v>
                </c:pt>
              </c:numCache>
            </c:numRef>
          </c:val>
        </c:ser>
        <c:ser>
          <c:idx val="1"/>
          <c:order val="1"/>
          <c:tx>
            <c:strRef>
              <c:f>'GRAFICI OSPEDALIZZAZIONE'!$S$3</c:f>
              <c:strCache>
                <c:ptCount val="1"/>
                <c:pt idx="0">
                  <c:v>M</c:v>
                </c:pt>
              </c:strCache>
            </c:strRef>
          </c:tx>
          <c:spPr>
            <a:solidFill>
              <a:srgbClr val="0066FF"/>
            </a:solidFill>
          </c:spPr>
          <c:invertIfNegative val="0"/>
          <c:dLbls>
            <c:dLbl>
              <c:idx val="1"/>
              <c:tx>
                <c:rich>
                  <a:bodyPr/>
                  <a:lstStyle/>
                  <a:p>
                    <a:pPr>
                      <a:defRPr sz="800" b="1">
                        <a:solidFill>
                          <a:srgbClr val="FF0000"/>
                        </a:solidFill>
                      </a:defRPr>
                    </a:pPr>
                    <a:r>
                      <a:rPr lang="en-US"/>
                      <a:t>17,0*</a:t>
                    </a:r>
                  </a:p>
                </c:rich>
              </c:tx>
              <c:spPr>
                <a:noFill/>
                <a:ln>
                  <a:noFill/>
                </a:ln>
                <a:effectLst/>
              </c:spPr>
              <c:showLegendKey val="0"/>
              <c:showVal val="1"/>
              <c:showCatName val="0"/>
              <c:showSerName val="0"/>
              <c:showPercent val="0"/>
              <c:showBubbleSize val="0"/>
            </c:dLbl>
            <c:dLbl>
              <c:idx val="2"/>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'GRAFICI OSPEDALIZZAZIONE'!$Q$4:$Q$6</c:f>
              <c:strCache>
                <c:ptCount val="3"/>
                <c:pt idx="0">
                  <c:v>CREMA</c:v>
                </c:pt>
                <c:pt idx="1">
                  <c:v>CREMONA</c:v>
                </c:pt>
                <c:pt idx="2">
                  <c:v>MANTOVA</c:v>
                </c:pt>
              </c:strCache>
            </c:strRef>
          </c:cat>
          <c:val>
            <c:numRef>
              <c:f>'GRAFICI OSPEDALIZZAZIONE'!$S$4:$S$6</c:f>
              <c:numCache>
                <c:formatCode>0.0</c:formatCode>
                <c:ptCount val="3"/>
                <c:pt idx="0">
                  <c:v>15.27</c:v>
                </c:pt>
                <c:pt idx="1">
                  <c:v>16.989999999999998</c:v>
                </c:pt>
                <c:pt idx="2">
                  <c:v>16.7</c:v>
                </c:pt>
              </c:numCache>
            </c:numRef>
          </c:val>
        </c:ser>
        <c:dLbls>
          <c:showLegendKey val="0"/>
          <c:showVal val="0"/>
          <c:showCatName val="0"/>
          <c:showSerName val="0"/>
          <c:showPercent val="0"/>
          <c:showBubbleSize val="0"/>
        </c:dLbls>
        <c:gapWidth val="150"/>
        <c:shape val="box"/>
        <c:axId val="222334336"/>
        <c:axId val="222340224"/>
        <c:axId val="0"/>
      </c:bar3DChart>
      <c:catAx>
        <c:axId val="222334336"/>
        <c:scaling>
          <c:orientation val="minMax"/>
        </c:scaling>
        <c:delete val="0"/>
        <c:axPos val="l"/>
        <c:numFmt formatCode="General" sourceLinked="0"/>
        <c:majorTickMark val="none"/>
        <c:minorTickMark val="none"/>
        <c:tickLblPos val="nextTo"/>
        <c:txPr>
          <a:bodyPr/>
          <a:lstStyle/>
          <a:p>
            <a:pPr>
              <a:defRPr sz="800" b="1"/>
            </a:pPr>
            <a:endParaRPr lang="it-IT"/>
          </a:p>
        </c:txPr>
        <c:crossAx val="222340224"/>
        <c:crosses val="autoZero"/>
        <c:auto val="1"/>
        <c:lblAlgn val="ctr"/>
        <c:lblOffset val="100"/>
        <c:noMultiLvlLbl val="0"/>
      </c:catAx>
      <c:valAx>
        <c:axId val="22234022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2334336"/>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Traumatismi e avvelenamenti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giusta'!$Q$47</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giusta'!$P$48:$P$50</c:f>
              <c:strCache>
                <c:ptCount val="3"/>
                <c:pt idx="0">
                  <c:v>CREMA</c:v>
                </c:pt>
                <c:pt idx="1">
                  <c:v>CREMONA</c:v>
                </c:pt>
                <c:pt idx="2">
                  <c:v>MANTOVA</c:v>
                </c:pt>
              </c:strCache>
            </c:strRef>
          </c:cat>
          <c:val>
            <c:numRef>
              <c:f>'mortalità giusta'!$Q$48:$Q$50</c:f>
              <c:numCache>
                <c:formatCode>0.0</c:formatCode>
                <c:ptCount val="3"/>
                <c:pt idx="0">
                  <c:v>23.23</c:v>
                </c:pt>
                <c:pt idx="1">
                  <c:v>16.829999999999988</c:v>
                </c:pt>
                <c:pt idx="2">
                  <c:v>21.99</c:v>
                </c:pt>
              </c:numCache>
            </c:numRef>
          </c:val>
        </c:ser>
        <c:ser>
          <c:idx val="1"/>
          <c:order val="1"/>
          <c:tx>
            <c:strRef>
              <c:f>'mortalità giusta'!$R$47</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56,1*</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giusta'!$P$48:$P$50</c:f>
              <c:strCache>
                <c:ptCount val="3"/>
                <c:pt idx="0">
                  <c:v>CREMA</c:v>
                </c:pt>
                <c:pt idx="1">
                  <c:v>CREMONA</c:v>
                </c:pt>
                <c:pt idx="2">
                  <c:v>MANTOVA</c:v>
                </c:pt>
              </c:strCache>
            </c:strRef>
          </c:cat>
          <c:val>
            <c:numRef>
              <c:f>'mortalità giusta'!$R$48:$R$50</c:f>
              <c:numCache>
                <c:formatCode>0.0</c:formatCode>
                <c:ptCount val="3"/>
                <c:pt idx="0">
                  <c:v>46.39</c:v>
                </c:pt>
                <c:pt idx="1">
                  <c:v>46.18</c:v>
                </c:pt>
                <c:pt idx="2">
                  <c:v>56.13</c:v>
                </c:pt>
              </c:numCache>
            </c:numRef>
          </c:val>
        </c:ser>
        <c:dLbls>
          <c:showLegendKey val="0"/>
          <c:showVal val="0"/>
          <c:showCatName val="0"/>
          <c:showSerName val="0"/>
          <c:showPercent val="0"/>
          <c:showBubbleSize val="0"/>
        </c:dLbls>
        <c:gapWidth val="150"/>
        <c:shape val="box"/>
        <c:axId val="223362048"/>
        <c:axId val="223556352"/>
        <c:axId val="0"/>
      </c:bar3DChart>
      <c:catAx>
        <c:axId val="223362048"/>
        <c:scaling>
          <c:orientation val="minMax"/>
        </c:scaling>
        <c:delete val="0"/>
        <c:axPos val="l"/>
        <c:numFmt formatCode="General" sourceLinked="0"/>
        <c:majorTickMark val="none"/>
        <c:minorTickMark val="none"/>
        <c:tickLblPos val="nextTo"/>
        <c:txPr>
          <a:bodyPr/>
          <a:lstStyle/>
          <a:p>
            <a:pPr>
              <a:defRPr sz="800" b="1"/>
            </a:pPr>
            <a:endParaRPr lang="it-IT"/>
          </a:p>
        </c:txPr>
        <c:crossAx val="223556352"/>
        <c:crosses val="autoZero"/>
        <c:auto val="1"/>
        <c:lblAlgn val="ctr"/>
        <c:lblOffset val="100"/>
        <c:noMultiLvlLbl val="0"/>
      </c:catAx>
      <c:valAx>
        <c:axId val="22355635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3362048"/>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Tutti i tumori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Tumori'!$K$528</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47,4*</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Tumori'!$J$529:$J$531</c:f>
              <c:strCache>
                <c:ptCount val="3"/>
                <c:pt idx="0">
                  <c:v>CREMA</c:v>
                </c:pt>
                <c:pt idx="1">
                  <c:v>CREMONA</c:v>
                </c:pt>
                <c:pt idx="2">
                  <c:v>MANTOVA</c:v>
                </c:pt>
              </c:strCache>
            </c:strRef>
          </c:cat>
          <c:val>
            <c:numRef>
              <c:f>'Incidenza Tumori'!$K$529:$K$531</c:f>
              <c:numCache>
                <c:formatCode>0.0</c:formatCode>
                <c:ptCount val="3"/>
                <c:pt idx="0">
                  <c:v>41.63</c:v>
                </c:pt>
                <c:pt idx="1">
                  <c:v>47.42</c:v>
                </c:pt>
                <c:pt idx="2">
                  <c:v>41.71</c:v>
                </c:pt>
              </c:numCache>
            </c:numRef>
          </c:val>
        </c:ser>
        <c:ser>
          <c:idx val="1"/>
          <c:order val="1"/>
          <c:tx>
            <c:strRef>
              <c:f>'Incidenza Tumori'!$L$528</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68,7*</a:t>
                    </a:r>
                  </a:p>
                </c:rich>
              </c:tx>
              <c:spPr>
                <a:noFill/>
                <a:ln>
                  <a:noFill/>
                </a:ln>
                <a:effectLst/>
              </c:spPr>
              <c:showLegendKey val="0"/>
              <c:showVal val="1"/>
              <c:showCatName val="0"/>
              <c:showSerName val="0"/>
              <c:showPercent val="0"/>
              <c:showBubbleSize val="0"/>
            </c:dLbl>
            <c:dLbl>
              <c:idx val="1"/>
              <c:tx>
                <c:rich>
                  <a:bodyPr/>
                  <a:lstStyle/>
                  <a:p>
                    <a:pPr>
                      <a:defRPr sz="800" b="1">
                        <a:solidFill>
                          <a:srgbClr val="FF0000"/>
                        </a:solidFill>
                      </a:defRPr>
                    </a:pPr>
                    <a:r>
                      <a:rPr lang="en-US"/>
                      <a:t>72,8*</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Tumori'!$J$529:$J$531</c:f>
              <c:strCache>
                <c:ptCount val="3"/>
                <c:pt idx="0">
                  <c:v>CREMA</c:v>
                </c:pt>
                <c:pt idx="1">
                  <c:v>CREMONA</c:v>
                </c:pt>
                <c:pt idx="2">
                  <c:v>MANTOVA</c:v>
                </c:pt>
              </c:strCache>
            </c:strRef>
          </c:cat>
          <c:val>
            <c:numRef>
              <c:f>'Incidenza Tumori'!$L$529:$L$531</c:f>
              <c:numCache>
                <c:formatCode>0.0</c:formatCode>
                <c:ptCount val="3"/>
                <c:pt idx="0">
                  <c:v>68.66</c:v>
                </c:pt>
                <c:pt idx="1">
                  <c:v>72.81</c:v>
                </c:pt>
                <c:pt idx="2">
                  <c:v>58.160000000000011</c:v>
                </c:pt>
              </c:numCache>
            </c:numRef>
          </c:val>
        </c:ser>
        <c:dLbls>
          <c:showLegendKey val="0"/>
          <c:showVal val="0"/>
          <c:showCatName val="0"/>
          <c:showSerName val="0"/>
          <c:showPercent val="0"/>
          <c:showBubbleSize val="0"/>
        </c:dLbls>
        <c:gapWidth val="150"/>
        <c:shape val="box"/>
        <c:axId val="224349568"/>
        <c:axId val="224351360"/>
        <c:axId val="0"/>
      </c:bar3DChart>
      <c:catAx>
        <c:axId val="224349568"/>
        <c:scaling>
          <c:orientation val="minMax"/>
        </c:scaling>
        <c:delete val="0"/>
        <c:axPos val="l"/>
        <c:numFmt formatCode="General" sourceLinked="0"/>
        <c:majorTickMark val="none"/>
        <c:minorTickMark val="none"/>
        <c:tickLblPos val="nextTo"/>
        <c:txPr>
          <a:bodyPr/>
          <a:lstStyle/>
          <a:p>
            <a:pPr>
              <a:defRPr sz="800" b="1"/>
            </a:pPr>
            <a:endParaRPr lang="it-IT"/>
          </a:p>
        </c:txPr>
        <c:crossAx val="224351360"/>
        <c:crosses val="autoZero"/>
        <c:auto val="1"/>
        <c:lblAlgn val="ctr"/>
        <c:lblOffset val="100"/>
        <c:noMultiLvlLbl val="0"/>
      </c:catAx>
      <c:valAx>
        <c:axId val="22435136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4349568"/>
        <c:crosses val="autoZero"/>
        <c:crossBetween val="between"/>
      </c:valAx>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M-Tutti</a:t>
            </a:r>
            <a:r>
              <a:rPr lang="it-IT" sz="1200" baseline="0"/>
              <a:t> i tumori</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x100000'!$Q$65</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252,6*</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x100000'!$P$66:$P$68</c:f>
              <c:strCache>
                <c:ptCount val="3"/>
                <c:pt idx="0">
                  <c:v>CREMA</c:v>
                </c:pt>
                <c:pt idx="1">
                  <c:v>CREMONA</c:v>
                </c:pt>
                <c:pt idx="2">
                  <c:v>MANTOVA</c:v>
                </c:pt>
              </c:strCache>
            </c:strRef>
          </c:cat>
          <c:val>
            <c:numRef>
              <c:f>'mortalita 2007-2015 x100000'!$Q$66:$Q$68</c:f>
              <c:numCache>
                <c:formatCode>0.0</c:formatCode>
                <c:ptCount val="3"/>
                <c:pt idx="0">
                  <c:v>252.6</c:v>
                </c:pt>
                <c:pt idx="1">
                  <c:v>233.54</c:v>
                </c:pt>
                <c:pt idx="2">
                  <c:v>225.76</c:v>
                </c:pt>
              </c:numCache>
            </c:numRef>
          </c:val>
        </c:ser>
        <c:ser>
          <c:idx val="1"/>
          <c:order val="1"/>
          <c:tx>
            <c:strRef>
              <c:f>'mortalita 2007-2015 x100000'!$R$65</c:f>
              <c:strCache>
                <c:ptCount val="1"/>
                <c:pt idx="0">
                  <c:v>M</c:v>
                </c:pt>
              </c:strCache>
            </c:strRef>
          </c:tx>
          <c:spPr>
            <a:solidFill>
              <a:srgbClr val="0066FF"/>
            </a:solidFill>
          </c:spPr>
          <c:invertIfNegative val="0"/>
          <c:dLbls>
            <c:dLbl>
              <c:idx val="1"/>
              <c:tx>
                <c:rich>
                  <a:bodyPr/>
                  <a:lstStyle/>
                  <a:p>
                    <a:pPr>
                      <a:defRPr sz="800" b="1">
                        <a:solidFill>
                          <a:srgbClr val="FF0000"/>
                        </a:solidFill>
                      </a:defRPr>
                    </a:pPr>
                    <a:r>
                      <a:rPr lang="en-US"/>
                      <a:t>451,8*</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x100000'!$P$66:$P$68</c:f>
              <c:strCache>
                <c:ptCount val="3"/>
                <c:pt idx="0">
                  <c:v>CREMA</c:v>
                </c:pt>
                <c:pt idx="1">
                  <c:v>CREMONA</c:v>
                </c:pt>
                <c:pt idx="2">
                  <c:v>MANTOVA</c:v>
                </c:pt>
              </c:strCache>
            </c:strRef>
          </c:cat>
          <c:val>
            <c:numRef>
              <c:f>'mortalita 2007-2015 x100000'!$R$66:$R$68</c:f>
              <c:numCache>
                <c:formatCode>0.0</c:formatCode>
                <c:ptCount val="3"/>
                <c:pt idx="0">
                  <c:v>444.57</c:v>
                </c:pt>
                <c:pt idx="1">
                  <c:v>451.76</c:v>
                </c:pt>
                <c:pt idx="2">
                  <c:v>420.52</c:v>
                </c:pt>
              </c:numCache>
            </c:numRef>
          </c:val>
        </c:ser>
        <c:dLbls>
          <c:showLegendKey val="0"/>
          <c:showVal val="0"/>
          <c:showCatName val="0"/>
          <c:showSerName val="0"/>
          <c:showPercent val="0"/>
          <c:showBubbleSize val="0"/>
        </c:dLbls>
        <c:gapWidth val="150"/>
        <c:shape val="box"/>
        <c:axId val="225095040"/>
        <c:axId val="225096832"/>
        <c:axId val="0"/>
      </c:bar3DChart>
      <c:catAx>
        <c:axId val="225095040"/>
        <c:scaling>
          <c:orientation val="minMax"/>
        </c:scaling>
        <c:delete val="0"/>
        <c:axPos val="l"/>
        <c:majorTickMark val="none"/>
        <c:minorTickMark val="none"/>
        <c:tickLblPos val="nextTo"/>
        <c:txPr>
          <a:bodyPr/>
          <a:lstStyle/>
          <a:p>
            <a:pPr>
              <a:defRPr sz="800" b="1"/>
            </a:pPr>
            <a:endParaRPr lang="it-IT"/>
          </a:p>
        </c:txPr>
        <c:crossAx val="225096832"/>
        <c:crosses val="autoZero"/>
        <c:auto val="1"/>
        <c:lblAlgn val="ctr"/>
        <c:lblOffset val="100"/>
        <c:noMultiLvlLbl val="0"/>
      </c:catAx>
      <c:valAx>
        <c:axId val="22509683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5095040"/>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H-Tutti</a:t>
            </a:r>
            <a:r>
              <a:rPr lang="it-IT" sz="1200" baseline="0"/>
              <a:t> i tumori</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OSPEDALIZZAZIONE'!$Q$10</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16,8*</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OSPEDALIZZAZIONE'!$P$11:$P$13</c:f>
              <c:strCache>
                <c:ptCount val="3"/>
                <c:pt idx="0">
                  <c:v>CREMA</c:v>
                </c:pt>
                <c:pt idx="1">
                  <c:v>CREMONA</c:v>
                </c:pt>
                <c:pt idx="2">
                  <c:v>MANTOVA</c:v>
                </c:pt>
              </c:strCache>
            </c:strRef>
          </c:cat>
          <c:val>
            <c:numRef>
              <c:f>'GRAFICI OSPEDALIZZAZIONE'!$Q$11:$Q$13</c:f>
              <c:numCache>
                <c:formatCode>0.0</c:formatCode>
                <c:ptCount val="3"/>
                <c:pt idx="0">
                  <c:v>15.48</c:v>
                </c:pt>
                <c:pt idx="1">
                  <c:v>16.79</c:v>
                </c:pt>
                <c:pt idx="2">
                  <c:v>13.5</c:v>
                </c:pt>
              </c:numCache>
            </c:numRef>
          </c:val>
        </c:ser>
        <c:ser>
          <c:idx val="1"/>
          <c:order val="1"/>
          <c:tx>
            <c:strRef>
              <c:f>'GRAFICI OSPEDALIZZAZIONE'!$R$10</c:f>
              <c:strCache>
                <c:ptCount val="1"/>
                <c:pt idx="0">
                  <c:v>M</c:v>
                </c:pt>
              </c:strCache>
            </c:strRef>
          </c:tx>
          <c:spPr>
            <a:solidFill>
              <a:srgbClr val="0066FF"/>
            </a:solidFill>
          </c:spPr>
          <c:invertIfNegative val="0"/>
          <c:dLbls>
            <c:dLbl>
              <c:idx val="1"/>
              <c:tx>
                <c:rich>
                  <a:bodyPr/>
                  <a:lstStyle/>
                  <a:p>
                    <a:pPr>
                      <a:defRPr sz="800" b="1">
                        <a:solidFill>
                          <a:srgbClr val="FF0000"/>
                        </a:solidFill>
                      </a:defRPr>
                    </a:pPr>
                    <a:r>
                      <a:rPr lang="en-US"/>
                      <a:t>27,7*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OSPEDALIZZAZIONE'!$P$11:$P$13</c:f>
              <c:strCache>
                <c:ptCount val="3"/>
                <c:pt idx="0">
                  <c:v>CREMA</c:v>
                </c:pt>
                <c:pt idx="1">
                  <c:v>CREMONA</c:v>
                </c:pt>
                <c:pt idx="2">
                  <c:v>MANTOVA</c:v>
                </c:pt>
              </c:strCache>
            </c:strRef>
          </c:cat>
          <c:val>
            <c:numRef>
              <c:f>'GRAFICI OSPEDALIZZAZIONE'!$R$11:$R$13</c:f>
              <c:numCache>
                <c:formatCode>0.0</c:formatCode>
                <c:ptCount val="3"/>
                <c:pt idx="0">
                  <c:v>22</c:v>
                </c:pt>
                <c:pt idx="1">
                  <c:v>27.72</c:v>
                </c:pt>
                <c:pt idx="2">
                  <c:v>19.75</c:v>
                </c:pt>
              </c:numCache>
            </c:numRef>
          </c:val>
        </c:ser>
        <c:dLbls>
          <c:showLegendKey val="0"/>
          <c:showVal val="0"/>
          <c:showCatName val="0"/>
          <c:showSerName val="0"/>
          <c:showPercent val="0"/>
          <c:showBubbleSize val="0"/>
        </c:dLbls>
        <c:gapWidth val="150"/>
        <c:shape val="box"/>
        <c:axId val="225906048"/>
        <c:axId val="225916032"/>
        <c:axId val="0"/>
      </c:bar3DChart>
      <c:catAx>
        <c:axId val="225906048"/>
        <c:scaling>
          <c:orientation val="minMax"/>
        </c:scaling>
        <c:delete val="0"/>
        <c:axPos val="l"/>
        <c:majorTickMark val="none"/>
        <c:minorTickMark val="none"/>
        <c:tickLblPos val="nextTo"/>
        <c:txPr>
          <a:bodyPr/>
          <a:lstStyle/>
          <a:p>
            <a:pPr>
              <a:defRPr sz="800" b="1"/>
            </a:pPr>
            <a:endParaRPr lang="it-IT"/>
          </a:p>
        </c:txPr>
        <c:crossAx val="225916032"/>
        <c:crosses val="autoZero"/>
        <c:auto val="1"/>
        <c:lblAlgn val="ctr"/>
        <c:lblOffset val="100"/>
        <c:noMultiLvlLbl val="0"/>
      </c:catAx>
      <c:valAx>
        <c:axId val="22591603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5906048"/>
        <c:crosses val="autoZero"/>
        <c:crossBetween val="between"/>
      </c:valAx>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Tutti i tumori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grafici_BDA!$L$58</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52,7*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grafici_BDA!$K$59:$K$61</c:f>
              <c:strCache>
                <c:ptCount val="3"/>
                <c:pt idx="0">
                  <c:v>CREMA</c:v>
                </c:pt>
                <c:pt idx="1">
                  <c:v>CREMONA</c:v>
                </c:pt>
                <c:pt idx="2">
                  <c:v>MANTOVA</c:v>
                </c:pt>
              </c:strCache>
            </c:strRef>
          </c:cat>
          <c:val>
            <c:numRef>
              <c:f>grafici_BDA!$L$59:$L$61</c:f>
              <c:numCache>
                <c:formatCode>0.0</c:formatCode>
                <c:ptCount val="3"/>
                <c:pt idx="0">
                  <c:v>52.730000000000011</c:v>
                </c:pt>
                <c:pt idx="1">
                  <c:v>50.37</c:v>
                </c:pt>
                <c:pt idx="2">
                  <c:v>47.87</c:v>
                </c:pt>
              </c:numCache>
            </c:numRef>
          </c:val>
        </c:ser>
        <c:ser>
          <c:idx val="1"/>
          <c:order val="1"/>
          <c:tx>
            <c:strRef>
              <c:f>grafici_BDA!$M$58</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50,8*</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grafici_BDA!$K$59:$K$61</c:f>
              <c:strCache>
                <c:ptCount val="3"/>
                <c:pt idx="0">
                  <c:v>CREMA</c:v>
                </c:pt>
                <c:pt idx="1">
                  <c:v>CREMONA</c:v>
                </c:pt>
                <c:pt idx="2">
                  <c:v>MANTOVA</c:v>
                </c:pt>
              </c:strCache>
            </c:strRef>
          </c:cat>
          <c:val>
            <c:numRef>
              <c:f>grafici_BDA!$M$59:$M$61</c:f>
              <c:numCache>
                <c:formatCode>0.0</c:formatCode>
                <c:ptCount val="3"/>
                <c:pt idx="0">
                  <c:v>50.84</c:v>
                </c:pt>
                <c:pt idx="1">
                  <c:v>45.230000000000011</c:v>
                </c:pt>
                <c:pt idx="2">
                  <c:v>44.09</c:v>
                </c:pt>
              </c:numCache>
            </c:numRef>
          </c:val>
        </c:ser>
        <c:dLbls>
          <c:showLegendKey val="0"/>
          <c:showVal val="0"/>
          <c:showCatName val="0"/>
          <c:showSerName val="0"/>
          <c:showPercent val="0"/>
          <c:showBubbleSize val="0"/>
        </c:dLbls>
        <c:gapWidth val="150"/>
        <c:shape val="box"/>
        <c:axId val="226090368"/>
        <c:axId val="226374784"/>
        <c:axId val="0"/>
      </c:bar3DChart>
      <c:catAx>
        <c:axId val="226090368"/>
        <c:scaling>
          <c:orientation val="minMax"/>
        </c:scaling>
        <c:delete val="0"/>
        <c:axPos val="l"/>
        <c:majorTickMark val="none"/>
        <c:minorTickMark val="none"/>
        <c:tickLblPos val="nextTo"/>
        <c:txPr>
          <a:bodyPr/>
          <a:lstStyle/>
          <a:p>
            <a:pPr>
              <a:defRPr sz="800" b="1"/>
            </a:pPr>
            <a:endParaRPr lang="it-IT"/>
          </a:p>
        </c:txPr>
        <c:crossAx val="226374784"/>
        <c:crosses val="autoZero"/>
        <c:auto val="1"/>
        <c:lblAlgn val="ctr"/>
        <c:lblOffset val="100"/>
        <c:noMultiLvlLbl val="0"/>
      </c:catAx>
      <c:valAx>
        <c:axId val="22637478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6090368"/>
        <c:crosses val="autoZero"/>
        <c:crossBetween val="between"/>
        <c:majorUnit val="20"/>
      </c:valAx>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della mammella F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Tumori'!$K$459</c:f>
              <c:strCache>
                <c:ptCount val="1"/>
                <c:pt idx="0">
                  <c:v>F</c:v>
                </c:pt>
              </c:strCache>
            </c:strRef>
          </c:tx>
          <c:spPr>
            <a:solidFill>
              <a:srgbClr val="FF66CC"/>
            </a:solidFill>
          </c:spPr>
          <c:invertIfNegative val="0"/>
          <c:dLbls>
            <c:dLbl>
              <c:idx val="0"/>
              <c:spPr/>
              <c:txPr>
                <a:bodyPr/>
                <a:lstStyle/>
                <a:p>
                  <a:pPr>
                    <a:defRPr sz="800" b="1">
                      <a:solidFill>
                        <a:sysClr val="windowText" lastClr="000000"/>
                      </a:solidFill>
                    </a:defRPr>
                  </a:pPr>
                  <a:endParaRPr lang="it-IT"/>
                </a:p>
              </c:tx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Tumori'!$J$460:$J$462</c:f>
              <c:strCache>
                <c:ptCount val="3"/>
                <c:pt idx="0">
                  <c:v>CREMA</c:v>
                </c:pt>
                <c:pt idx="1">
                  <c:v>CREMONA</c:v>
                </c:pt>
                <c:pt idx="2">
                  <c:v>MANTOVA</c:v>
                </c:pt>
              </c:strCache>
            </c:strRef>
          </c:cat>
          <c:val>
            <c:numRef>
              <c:f>'Incidenza Tumori'!$K$460:$K$462</c:f>
              <c:numCache>
                <c:formatCode>0.0</c:formatCode>
                <c:ptCount val="3"/>
                <c:pt idx="0">
                  <c:v>172.17</c:v>
                </c:pt>
                <c:pt idx="1">
                  <c:v>165.82000000000022</c:v>
                </c:pt>
                <c:pt idx="2">
                  <c:v>176.13</c:v>
                </c:pt>
              </c:numCache>
            </c:numRef>
          </c:val>
        </c:ser>
        <c:dLbls>
          <c:showLegendKey val="0"/>
          <c:showVal val="0"/>
          <c:showCatName val="0"/>
          <c:showSerName val="0"/>
          <c:showPercent val="0"/>
          <c:showBubbleSize val="0"/>
        </c:dLbls>
        <c:gapWidth val="150"/>
        <c:shape val="box"/>
        <c:axId val="226310016"/>
        <c:axId val="226311552"/>
        <c:axId val="0"/>
      </c:bar3DChart>
      <c:catAx>
        <c:axId val="226310016"/>
        <c:scaling>
          <c:orientation val="minMax"/>
        </c:scaling>
        <c:delete val="0"/>
        <c:axPos val="l"/>
        <c:majorTickMark val="none"/>
        <c:minorTickMark val="none"/>
        <c:tickLblPos val="nextTo"/>
        <c:txPr>
          <a:bodyPr/>
          <a:lstStyle/>
          <a:p>
            <a:pPr>
              <a:defRPr sz="800" b="1"/>
            </a:pPr>
            <a:endParaRPr lang="it-IT"/>
          </a:p>
        </c:txPr>
        <c:crossAx val="226311552"/>
        <c:crosses val="autoZero"/>
        <c:auto val="1"/>
        <c:lblAlgn val="ctr"/>
        <c:lblOffset val="100"/>
        <c:noMultiLvlLbl val="0"/>
      </c:catAx>
      <c:valAx>
        <c:axId val="226311552"/>
        <c:scaling>
          <c:orientation val="minMax"/>
          <c:min val="0"/>
        </c:scaling>
        <c:delete val="0"/>
        <c:axPos val="b"/>
        <c:majorGridlines/>
        <c:numFmt formatCode="0.0" sourceLinked="1"/>
        <c:majorTickMark val="none"/>
        <c:minorTickMark val="none"/>
        <c:tickLblPos val="nextTo"/>
        <c:txPr>
          <a:bodyPr/>
          <a:lstStyle/>
          <a:p>
            <a:pPr>
              <a:defRPr sz="800" b="1"/>
            </a:pPr>
            <a:endParaRPr lang="it-IT"/>
          </a:p>
        </c:txPr>
        <c:crossAx val="226310016"/>
        <c:crosses val="autoZero"/>
        <c:crossBetween val="between"/>
        <c:majorUnit val="30"/>
      </c:valAx>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M-Tumore della</a:t>
            </a:r>
            <a:r>
              <a:rPr lang="it-IT" sz="1200" baseline="0"/>
              <a:t> mammella F</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x100000'!$Q$45</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48,9*</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x100000'!$P$46:$P$48</c:f>
              <c:strCache>
                <c:ptCount val="3"/>
                <c:pt idx="0">
                  <c:v>CREMA</c:v>
                </c:pt>
                <c:pt idx="1">
                  <c:v>CREMONA</c:v>
                </c:pt>
                <c:pt idx="2">
                  <c:v>MANTOVA</c:v>
                </c:pt>
              </c:strCache>
            </c:strRef>
          </c:cat>
          <c:val>
            <c:numRef>
              <c:f>'mortalita 2007-2015 x100000'!$Q$46:$Q$48</c:f>
              <c:numCache>
                <c:formatCode>0.0</c:formatCode>
                <c:ptCount val="3"/>
                <c:pt idx="0">
                  <c:v>48.9</c:v>
                </c:pt>
                <c:pt idx="1">
                  <c:v>43.220000000000013</c:v>
                </c:pt>
                <c:pt idx="2">
                  <c:v>39.75</c:v>
                </c:pt>
              </c:numCache>
            </c:numRef>
          </c:val>
        </c:ser>
        <c:ser>
          <c:idx val="1"/>
          <c:order val="1"/>
          <c:tx>
            <c:strRef>
              <c:f>'mortalita 2007-2015 x100000'!$R$45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x100000'!$P$46:$P$48</c:f>
              <c:strCache>
                <c:ptCount val="3"/>
                <c:pt idx="0">
                  <c:v>CREMA</c:v>
                </c:pt>
                <c:pt idx="1">
                  <c:v>CREMONA</c:v>
                </c:pt>
                <c:pt idx="2">
                  <c:v>MANTOVA</c:v>
                </c:pt>
              </c:strCache>
            </c:strRef>
          </c:cat>
          <c:val>
            <c:numRef>
              <c:f>'mortalita 2007-2015 x100000'!$R$46:$R$48</c:f>
              <c:numCache>
                <c:formatCode>General</c:formatCode>
                <c:ptCount val="3"/>
              </c:numCache>
            </c:numRef>
          </c:val>
        </c:ser>
        <c:dLbls>
          <c:showLegendKey val="0"/>
          <c:showVal val="0"/>
          <c:showCatName val="0"/>
          <c:showSerName val="0"/>
          <c:showPercent val="0"/>
          <c:showBubbleSize val="0"/>
        </c:dLbls>
        <c:gapWidth val="93"/>
        <c:gapDepth val="81"/>
        <c:shape val="box"/>
        <c:axId val="228496512"/>
        <c:axId val="228498048"/>
        <c:axId val="0"/>
      </c:bar3DChart>
      <c:catAx>
        <c:axId val="228496512"/>
        <c:scaling>
          <c:orientation val="minMax"/>
        </c:scaling>
        <c:delete val="0"/>
        <c:axPos val="l"/>
        <c:majorTickMark val="none"/>
        <c:minorTickMark val="none"/>
        <c:tickLblPos val="nextTo"/>
        <c:txPr>
          <a:bodyPr/>
          <a:lstStyle/>
          <a:p>
            <a:pPr>
              <a:defRPr sz="800" b="1"/>
            </a:pPr>
            <a:endParaRPr lang="it-IT"/>
          </a:p>
        </c:txPr>
        <c:crossAx val="228498048"/>
        <c:crosses val="autoZero"/>
        <c:auto val="1"/>
        <c:lblAlgn val="ctr"/>
        <c:lblOffset val="100"/>
        <c:noMultiLvlLbl val="0"/>
      </c:catAx>
      <c:valAx>
        <c:axId val="22849804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8496512"/>
        <c:crosses val="autoZero"/>
        <c:crossBetween val="between"/>
      </c:valAx>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I-Tumore del colon-retto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Tumori'!$K$405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Tumori'!$J$406:$J$408</c:f>
              <c:strCache>
                <c:ptCount val="3"/>
                <c:pt idx="0">
                  <c:v>CREMA</c:v>
                </c:pt>
                <c:pt idx="1">
                  <c:v>CREMONA</c:v>
                </c:pt>
                <c:pt idx="2">
                  <c:v>MANTOVA</c:v>
                </c:pt>
              </c:strCache>
            </c:strRef>
          </c:cat>
          <c:val>
            <c:numRef>
              <c:f>'Incidenza Tumori'!$K$406:$K$408</c:f>
              <c:numCache>
                <c:formatCode>0.0</c:formatCode>
                <c:ptCount val="3"/>
                <c:pt idx="0">
                  <c:v>54.02</c:v>
                </c:pt>
                <c:pt idx="1">
                  <c:v>65.08</c:v>
                </c:pt>
                <c:pt idx="2">
                  <c:v>71.11</c:v>
                </c:pt>
              </c:numCache>
            </c:numRef>
          </c:val>
        </c:ser>
        <c:ser>
          <c:idx val="1"/>
          <c:order val="1"/>
          <c:tx>
            <c:strRef>
              <c:f>'Incidenza Tumori'!$L$405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Tumori'!$J$406:$J$408</c:f>
              <c:strCache>
                <c:ptCount val="3"/>
                <c:pt idx="0">
                  <c:v>CREMA</c:v>
                </c:pt>
                <c:pt idx="1">
                  <c:v>CREMONA</c:v>
                </c:pt>
                <c:pt idx="2">
                  <c:v>MANTOVA</c:v>
                </c:pt>
              </c:strCache>
            </c:strRef>
          </c:cat>
          <c:val>
            <c:numRef>
              <c:f>'Incidenza Tumori'!$L$406:$L$408</c:f>
              <c:numCache>
                <c:formatCode>0.0</c:formatCode>
                <c:ptCount val="3"/>
                <c:pt idx="0">
                  <c:v>108.86999999999999</c:v>
                </c:pt>
                <c:pt idx="1">
                  <c:v>118.28</c:v>
                </c:pt>
                <c:pt idx="2">
                  <c:v>122.86999999999999</c:v>
                </c:pt>
              </c:numCache>
            </c:numRef>
          </c:val>
        </c:ser>
        <c:dLbls>
          <c:showLegendKey val="0"/>
          <c:showVal val="0"/>
          <c:showCatName val="0"/>
          <c:showSerName val="0"/>
          <c:showPercent val="0"/>
          <c:showBubbleSize val="0"/>
        </c:dLbls>
        <c:gapWidth val="150"/>
        <c:shape val="box"/>
        <c:axId val="229044608"/>
        <c:axId val="229046144"/>
        <c:axId val="0"/>
      </c:bar3DChart>
      <c:catAx>
        <c:axId val="229044608"/>
        <c:scaling>
          <c:orientation val="minMax"/>
        </c:scaling>
        <c:delete val="0"/>
        <c:axPos val="l"/>
        <c:majorTickMark val="none"/>
        <c:minorTickMark val="none"/>
        <c:tickLblPos val="nextTo"/>
        <c:txPr>
          <a:bodyPr/>
          <a:lstStyle/>
          <a:p>
            <a:pPr>
              <a:defRPr sz="800" b="1"/>
            </a:pPr>
            <a:endParaRPr lang="it-IT"/>
          </a:p>
        </c:txPr>
        <c:crossAx val="229046144"/>
        <c:crosses val="autoZero"/>
        <c:auto val="1"/>
        <c:lblAlgn val="ctr"/>
        <c:lblOffset val="100"/>
        <c:noMultiLvlLbl val="0"/>
      </c:catAx>
      <c:valAx>
        <c:axId val="22904614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9044608"/>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Mantova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PIRAMIDI!$B$2</c:f>
              <c:strCache>
                <c:ptCount val="1"/>
                <c:pt idx="0">
                  <c:v>F</c:v>
                </c:pt>
              </c:strCache>
            </c:strRef>
          </c:tx>
          <c:spPr>
            <a:solidFill>
              <a:srgbClr val="FF66FF"/>
            </a:solidFill>
          </c:spPr>
          <c:invertIfNegative val="0"/>
          <c:cat>
            <c:strRef>
              <c:f>PIRAMIDI!$A$3:$A$22</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PIRAMIDI!$B$3:$B$22</c:f>
              <c:numCache>
                <c:formatCode>0;[Red]0</c:formatCode>
                <c:ptCount val="20"/>
                <c:pt idx="0">
                  <c:v>-8559</c:v>
                </c:pt>
                <c:pt idx="1">
                  <c:v>-9706</c:v>
                </c:pt>
                <c:pt idx="2">
                  <c:v>-9019</c:v>
                </c:pt>
                <c:pt idx="3">
                  <c:v>-8756</c:v>
                </c:pt>
                <c:pt idx="4">
                  <c:v>-8704</c:v>
                </c:pt>
                <c:pt idx="5">
                  <c:v>-9890</c:v>
                </c:pt>
                <c:pt idx="6">
                  <c:v>-11439</c:v>
                </c:pt>
                <c:pt idx="7">
                  <c:v>-14333</c:v>
                </c:pt>
                <c:pt idx="8">
                  <c:v>-16761</c:v>
                </c:pt>
                <c:pt idx="9">
                  <c:v>-16483</c:v>
                </c:pt>
                <c:pt idx="10">
                  <c:v>-15935</c:v>
                </c:pt>
                <c:pt idx="11">
                  <c:v>-13913</c:v>
                </c:pt>
                <c:pt idx="12">
                  <c:v>-12853</c:v>
                </c:pt>
                <c:pt idx="13">
                  <c:v>-13452</c:v>
                </c:pt>
                <c:pt idx="14">
                  <c:v>-10459</c:v>
                </c:pt>
                <c:pt idx="15">
                  <c:v>-11025</c:v>
                </c:pt>
                <c:pt idx="16">
                  <c:v>-9061</c:v>
                </c:pt>
                <c:pt idx="17">
                  <c:v>-6665</c:v>
                </c:pt>
                <c:pt idx="18">
                  <c:v>-3538</c:v>
                </c:pt>
                <c:pt idx="19">
                  <c:v>-864</c:v>
                </c:pt>
              </c:numCache>
            </c:numRef>
          </c:val>
        </c:ser>
        <c:ser>
          <c:idx val="1"/>
          <c:order val="1"/>
          <c:tx>
            <c:strRef>
              <c:f>PIRAMIDI!$C$2</c:f>
              <c:strCache>
                <c:ptCount val="1"/>
                <c:pt idx="0">
                  <c:v>M</c:v>
                </c:pt>
              </c:strCache>
            </c:strRef>
          </c:tx>
          <c:spPr>
            <a:solidFill>
              <a:srgbClr val="00B0F0"/>
            </a:solidFill>
          </c:spPr>
          <c:invertIfNegative val="0"/>
          <c:cat>
            <c:strRef>
              <c:f>PIRAMIDI!$A$3:$A$22</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PIRAMIDI!$C$3:$C$22</c:f>
              <c:numCache>
                <c:formatCode>General</c:formatCode>
                <c:ptCount val="20"/>
                <c:pt idx="0">
                  <c:v>9309</c:v>
                </c:pt>
                <c:pt idx="1">
                  <c:v>10414</c:v>
                </c:pt>
                <c:pt idx="2">
                  <c:v>9702</c:v>
                </c:pt>
                <c:pt idx="3">
                  <c:v>9863</c:v>
                </c:pt>
                <c:pt idx="4">
                  <c:v>9439</c:v>
                </c:pt>
                <c:pt idx="5">
                  <c:v>10086</c:v>
                </c:pt>
                <c:pt idx="6">
                  <c:v>11599</c:v>
                </c:pt>
                <c:pt idx="7">
                  <c:v>14822</c:v>
                </c:pt>
                <c:pt idx="8">
                  <c:v>17395</c:v>
                </c:pt>
                <c:pt idx="9">
                  <c:v>17450</c:v>
                </c:pt>
                <c:pt idx="10">
                  <c:v>16401</c:v>
                </c:pt>
                <c:pt idx="11">
                  <c:v>13560</c:v>
                </c:pt>
                <c:pt idx="12">
                  <c:v>11901</c:v>
                </c:pt>
                <c:pt idx="13">
                  <c:v>12549</c:v>
                </c:pt>
                <c:pt idx="14">
                  <c:v>8788</c:v>
                </c:pt>
                <c:pt idx="15">
                  <c:v>8713</c:v>
                </c:pt>
                <c:pt idx="16">
                  <c:v>6018</c:v>
                </c:pt>
                <c:pt idx="17">
                  <c:v>3059</c:v>
                </c:pt>
                <c:pt idx="18">
                  <c:v>1137</c:v>
                </c:pt>
                <c:pt idx="19">
                  <c:v>208</c:v>
                </c:pt>
              </c:numCache>
            </c:numRef>
          </c:val>
        </c:ser>
        <c:dLbls>
          <c:showLegendKey val="0"/>
          <c:showVal val="0"/>
          <c:showCatName val="0"/>
          <c:showSerName val="0"/>
          <c:showPercent val="0"/>
          <c:showBubbleSize val="0"/>
        </c:dLbls>
        <c:gapWidth val="0"/>
        <c:gapDepth val="0"/>
        <c:shape val="box"/>
        <c:axId val="219157632"/>
        <c:axId val="219159168"/>
        <c:axId val="0"/>
      </c:bar3DChart>
      <c:catAx>
        <c:axId val="219157632"/>
        <c:scaling>
          <c:orientation val="minMax"/>
        </c:scaling>
        <c:delete val="1"/>
        <c:axPos val="l"/>
        <c:majorTickMark val="none"/>
        <c:minorTickMark val="none"/>
        <c:tickLblPos val="none"/>
        <c:crossAx val="219159168"/>
        <c:crosses val="autoZero"/>
        <c:auto val="1"/>
        <c:lblAlgn val="ctr"/>
        <c:lblOffset val="100"/>
        <c:noMultiLvlLbl val="0"/>
      </c:catAx>
      <c:valAx>
        <c:axId val="219159168"/>
        <c:scaling>
          <c:orientation val="minMax"/>
        </c:scaling>
        <c:delete val="0"/>
        <c:axPos val="b"/>
        <c:majorGridlines/>
        <c:numFmt formatCode="0;[Red]0" sourceLinked="1"/>
        <c:majorTickMark val="none"/>
        <c:minorTickMark val="none"/>
        <c:tickLblPos val="nextTo"/>
        <c:txPr>
          <a:bodyPr/>
          <a:lstStyle/>
          <a:p>
            <a:pPr>
              <a:defRPr sz="800"/>
            </a:pPr>
            <a:endParaRPr lang="it-IT"/>
          </a:p>
        </c:txPr>
        <c:crossAx val="219157632"/>
        <c:crosses val="autoZero"/>
        <c:crossBetween val="between"/>
        <c:majorUnit val="10000"/>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M-Tumore del colon-retto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x100000'!$Q$29</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x100000'!$P$30:$P$32</c:f>
              <c:strCache>
                <c:ptCount val="3"/>
                <c:pt idx="0">
                  <c:v>CREMA</c:v>
                </c:pt>
                <c:pt idx="1">
                  <c:v>CREMONA</c:v>
                </c:pt>
                <c:pt idx="2">
                  <c:v>MANTOVA</c:v>
                </c:pt>
              </c:strCache>
            </c:strRef>
          </c:cat>
          <c:val>
            <c:numRef>
              <c:f>'mortalita 2007-2015 x100000'!$Q$30:$Q$32</c:f>
              <c:numCache>
                <c:formatCode>0.0</c:formatCode>
                <c:ptCount val="3"/>
                <c:pt idx="0">
                  <c:v>23.56</c:v>
                </c:pt>
                <c:pt idx="1">
                  <c:v>21.79</c:v>
                </c:pt>
                <c:pt idx="2">
                  <c:v>26.21</c:v>
                </c:pt>
              </c:numCache>
            </c:numRef>
          </c:val>
        </c:ser>
        <c:ser>
          <c:idx val="1"/>
          <c:order val="1"/>
          <c:tx>
            <c:strRef>
              <c:f>'mortalita 2007-2015 x100000'!$R$29</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x100000'!$P$30:$P$32</c:f>
              <c:strCache>
                <c:ptCount val="3"/>
                <c:pt idx="0">
                  <c:v>CREMA</c:v>
                </c:pt>
                <c:pt idx="1">
                  <c:v>CREMONA</c:v>
                </c:pt>
                <c:pt idx="2">
                  <c:v>MANTOVA</c:v>
                </c:pt>
              </c:strCache>
            </c:strRef>
          </c:cat>
          <c:val>
            <c:numRef>
              <c:f>'mortalita 2007-2015 x100000'!$R$30:$R$32</c:f>
              <c:numCache>
                <c:formatCode>0.0</c:formatCode>
                <c:ptCount val="3"/>
                <c:pt idx="0">
                  <c:v>42.44</c:v>
                </c:pt>
                <c:pt idx="1">
                  <c:v>39.260000000000012</c:v>
                </c:pt>
                <c:pt idx="2">
                  <c:v>45.87</c:v>
                </c:pt>
              </c:numCache>
            </c:numRef>
          </c:val>
        </c:ser>
        <c:dLbls>
          <c:showLegendKey val="0"/>
          <c:showVal val="0"/>
          <c:showCatName val="0"/>
          <c:showSerName val="0"/>
          <c:showPercent val="0"/>
          <c:showBubbleSize val="0"/>
        </c:dLbls>
        <c:gapWidth val="150"/>
        <c:shape val="box"/>
        <c:axId val="229674368"/>
        <c:axId val="229684352"/>
        <c:axId val="0"/>
      </c:bar3DChart>
      <c:catAx>
        <c:axId val="229674368"/>
        <c:scaling>
          <c:orientation val="minMax"/>
        </c:scaling>
        <c:delete val="0"/>
        <c:axPos val="l"/>
        <c:majorTickMark val="none"/>
        <c:minorTickMark val="none"/>
        <c:tickLblPos val="nextTo"/>
        <c:txPr>
          <a:bodyPr/>
          <a:lstStyle/>
          <a:p>
            <a:pPr>
              <a:defRPr sz="800" b="1"/>
            </a:pPr>
            <a:endParaRPr lang="it-IT"/>
          </a:p>
        </c:txPr>
        <c:crossAx val="229684352"/>
        <c:crosses val="autoZero"/>
        <c:auto val="1"/>
        <c:lblAlgn val="ctr"/>
        <c:lblOffset val="100"/>
        <c:noMultiLvlLbl val="0"/>
      </c:catAx>
      <c:valAx>
        <c:axId val="22968435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9674368"/>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della cervice</a:t>
            </a:r>
            <a:r>
              <a:rPr lang="it-IT" sz="1200" baseline="0"/>
              <a:t> uterina</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Tumori'!$K$512</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Tumori'!$J$513:$J$515</c:f>
              <c:strCache>
                <c:ptCount val="3"/>
                <c:pt idx="0">
                  <c:v>CREMA</c:v>
                </c:pt>
                <c:pt idx="1">
                  <c:v>CREMONA</c:v>
                </c:pt>
                <c:pt idx="2">
                  <c:v>MANTOVA</c:v>
                </c:pt>
              </c:strCache>
            </c:strRef>
          </c:cat>
          <c:val>
            <c:numRef>
              <c:f>'Incidenza Tumori'!$K$513:$K$515</c:f>
              <c:numCache>
                <c:formatCode>0.0</c:formatCode>
                <c:ptCount val="3"/>
                <c:pt idx="0">
                  <c:v>5.8199999999999985</c:v>
                </c:pt>
                <c:pt idx="1">
                  <c:v>9.61</c:v>
                </c:pt>
                <c:pt idx="2">
                  <c:v>6.41</c:v>
                </c:pt>
              </c:numCache>
            </c:numRef>
          </c:val>
        </c:ser>
        <c:dLbls>
          <c:showLegendKey val="0"/>
          <c:showVal val="0"/>
          <c:showCatName val="0"/>
          <c:showSerName val="0"/>
          <c:showPercent val="0"/>
          <c:showBubbleSize val="0"/>
        </c:dLbls>
        <c:gapWidth val="150"/>
        <c:shape val="box"/>
        <c:axId val="229979648"/>
        <c:axId val="229981184"/>
        <c:axId val="0"/>
      </c:bar3DChart>
      <c:catAx>
        <c:axId val="229979648"/>
        <c:scaling>
          <c:orientation val="minMax"/>
        </c:scaling>
        <c:delete val="0"/>
        <c:axPos val="l"/>
        <c:majorTickMark val="none"/>
        <c:minorTickMark val="none"/>
        <c:tickLblPos val="nextTo"/>
        <c:txPr>
          <a:bodyPr/>
          <a:lstStyle/>
          <a:p>
            <a:pPr>
              <a:defRPr sz="800" b="1"/>
            </a:pPr>
            <a:endParaRPr lang="it-IT"/>
          </a:p>
        </c:txPr>
        <c:crossAx val="229981184"/>
        <c:crosses val="autoZero"/>
        <c:auto val="1"/>
        <c:lblAlgn val="ctr"/>
        <c:lblOffset val="100"/>
        <c:noMultiLvlLbl val="0"/>
      </c:catAx>
      <c:valAx>
        <c:axId val="22998118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9979648"/>
        <c:crosses val="autoZero"/>
        <c:crossBetween val="between"/>
        <c:majorUnit val="2.5"/>
      </c:valAx>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 Tumore della cervice uterina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x100000'!$Q$41</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'mortalita 2007-2015 x100000'!$P$42:$P$44</c:f>
              <c:strCache>
                <c:ptCount val="3"/>
                <c:pt idx="0">
                  <c:v>CREMA</c:v>
                </c:pt>
                <c:pt idx="1">
                  <c:v>CREMONA</c:v>
                </c:pt>
                <c:pt idx="2">
                  <c:v>MANTOVA</c:v>
                </c:pt>
              </c:strCache>
            </c:strRef>
          </c:cat>
          <c:val>
            <c:numRef>
              <c:f>'mortalita 2007-2015 x100000'!$Q$42:$Q$44</c:f>
              <c:numCache>
                <c:formatCode>General</c:formatCode>
                <c:ptCount val="3"/>
                <c:pt idx="0">
                  <c:v>1.41</c:v>
                </c:pt>
                <c:pt idx="1">
                  <c:v>1.41</c:v>
                </c:pt>
                <c:pt idx="2">
                  <c:v>0.98</c:v>
                </c:pt>
              </c:numCache>
            </c:numRef>
          </c:val>
        </c:ser>
        <c:dLbls>
          <c:showLegendKey val="0"/>
          <c:showVal val="0"/>
          <c:showCatName val="0"/>
          <c:showSerName val="0"/>
          <c:showPercent val="0"/>
          <c:showBubbleSize val="0"/>
        </c:dLbls>
        <c:gapWidth val="150"/>
        <c:shape val="box"/>
        <c:axId val="230236160"/>
        <c:axId val="230237696"/>
        <c:axId val="0"/>
      </c:bar3DChart>
      <c:catAx>
        <c:axId val="230236160"/>
        <c:scaling>
          <c:orientation val="minMax"/>
        </c:scaling>
        <c:delete val="0"/>
        <c:axPos val="l"/>
        <c:numFmt formatCode="General" sourceLinked="0"/>
        <c:majorTickMark val="none"/>
        <c:minorTickMark val="none"/>
        <c:tickLblPos val="nextTo"/>
        <c:txPr>
          <a:bodyPr/>
          <a:lstStyle/>
          <a:p>
            <a:pPr>
              <a:defRPr sz="800" b="1"/>
            </a:pPr>
            <a:endParaRPr lang="it-IT"/>
          </a:p>
        </c:txPr>
        <c:crossAx val="230237696"/>
        <c:crosses val="autoZero"/>
        <c:auto val="1"/>
        <c:lblAlgn val="ctr"/>
        <c:lblOffset val="100"/>
        <c:noMultiLvlLbl val="0"/>
      </c:catAx>
      <c:valAx>
        <c:axId val="230237696"/>
        <c:scaling>
          <c:orientation val="minMax"/>
        </c:scaling>
        <c:delete val="0"/>
        <c:axPos val="b"/>
        <c:majorGridlines/>
        <c:numFmt formatCode="General" sourceLinked="1"/>
        <c:majorTickMark val="none"/>
        <c:minorTickMark val="none"/>
        <c:tickLblPos val="nextTo"/>
        <c:txPr>
          <a:bodyPr/>
          <a:lstStyle/>
          <a:p>
            <a:pPr>
              <a:defRPr sz="800" b="1"/>
            </a:pPr>
            <a:endParaRPr lang="it-IT"/>
          </a:p>
        </c:txPr>
        <c:crossAx val="230236160"/>
        <c:crosses val="autoZero"/>
        <c:crossBetween val="between"/>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della prostata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Tumori'!$L$483</c:f>
              <c:strCache>
                <c:ptCount val="1"/>
                <c:pt idx="0">
                  <c:v>M</c:v>
                </c:pt>
              </c:strCache>
            </c:strRef>
          </c:tx>
          <c:spPr>
            <a:solidFill>
              <a:srgbClr val="0066FF"/>
            </a:solidFill>
          </c:spPr>
          <c:invertIfNegative val="0"/>
          <c:dLbls>
            <c:dLbl>
              <c:idx val="1"/>
              <c:tx>
                <c:rich>
                  <a:bodyPr/>
                  <a:lstStyle/>
                  <a:p>
                    <a:pPr>
                      <a:defRPr sz="800" b="1">
                        <a:solidFill>
                          <a:srgbClr val="FF0000"/>
                        </a:solidFill>
                      </a:defRPr>
                    </a:pPr>
                    <a:r>
                      <a:rPr lang="en-US"/>
                      <a:t>190*,3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Tumori'!$J$484:$J$486</c:f>
              <c:strCache>
                <c:ptCount val="3"/>
                <c:pt idx="0">
                  <c:v>CREMA</c:v>
                </c:pt>
                <c:pt idx="1">
                  <c:v>CREMONA</c:v>
                </c:pt>
                <c:pt idx="2">
                  <c:v>MANTOVA</c:v>
                </c:pt>
              </c:strCache>
            </c:strRef>
          </c:cat>
          <c:val>
            <c:numRef>
              <c:f>'Incidenza Tumori'!$L$484:$L$486</c:f>
              <c:numCache>
                <c:formatCode>0.0</c:formatCode>
                <c:ptCount val="3"/>
                <c:pt idx="0">
                  <c:v>174.99</c:v>
                </c:pt>
                <c:pt idx="1">
                  <c:v>190.34</c:v>
                </c:pt>
                <c:pt idx="2">
                  <c:v>149.94999999999999</c:v>
                </c:pt>
              </c:numCache>
            </c:numRef>
          </c:val>
        </c:ser>
        <c:dLbls>
          <c:showLegendKey val="0"/>
          <c:showVal val="0"/>
          <c:showCatName val="0"/>
          <c:showSerName val="0"/>
          <c:showPercent val="0"/>
          <c:showBubbleSize val="0"/>
        </c:dLbls>
        <c:gapWidth val="150"/>
        <c:shape val="box"/>
        <c:axId val="230246656"/>
        <c:axId val="230633472"/>
        <c:axId val="0"/>
      </c:bar3DChart>
      <c:catAx>
        <c:axId val="230246656"/>
        <c:scaling>
          <c:orientation val="minMax"/>
        </c:scaling>
        <c:delete val="0"/>
        <c:axPos val="l"/>
        <c:majorTickMark val="none"/>
        <c:minorTickMark val="none"/>
        <c:tickLblPos val="nextTo"/>
        <c:txPr>
          <a:bodyPr/>
          <a:lstStyle/>
          <a:p>
            <a:pPr>
              <a:defRPr sz="800" b="1"/>
            </a:pPr>
            <a:endParaRPr lang="it-IT"/>
          </a:p>
        </c:txPr>
        <c:crossAx val="230633472"/>
        <c:crosses val="autoZero"/>
        <c:auto val="1"/>
        <c:lblAlgn val="ctr"/>
        <c:lblOffset val="100"/>
        <c:noMultiLvlLbl val="0"/>
      </c:catAx>
      <c:valAx>
        <c:axId val="23063347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0246656"/>
        <c:crosses val="autoZero"/>
        <c:crossBetween val="between"/>
      </c:valAx>
    </c:plotArea>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Tumore della prostata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giusta'!$Q$84</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giusta'!$P$85:$P$87</c:f>
              <c:strCache>
                <c:ptCount val="3"/>
                <c:pt idx="0">
                  <c:v>CREMA</c:v>
                </c:pt>
                <c:pt idx="1">
                  <c:v>CREMONA</c:v>
                </c:pt>
                <c:pt idx="2">
                  <c:v>MANTOVA</c:v>
                </c:pt>
              </c:strCache>
            </c:strRef>
          </c:cat>
          <c:val>
            <c:numRef>
              <c:f>'mortalità giusta'!$Q$85:$Q$87</c:f>
              <c:numCache>
                <c:formatCode>0.0</c:formatCode>
                <c:ptCount val="3"/>
                <c:pt idx="0">
                  <c:v>30.52</c:v>
                </c:pt>
                <c:pt idx="1">
                  <c:v>27.51</c:v>
                </c:pt>
                <c:pt idx="2">
                  <c:v>32.120000000000012</c:v>
                </c:pt>
              </c:numCache>
            </c:numRef>
          </c:val>
        </c:ser>
        <c:dLbls>
          <c:showLegendKey val="0"/>
          <c:showVal val="0"/>
          <c:showCatName val="0"/>
          <c:showSerName val="0"/>
          <c:showPercent val="0"/>
          <c:showBubbleSize val="0"/>
        </c:dLbls>
        <c:gapWidth val="150"/>
        <c:shape val="box"/>
        <c:axId val="230941056"/>
        <c:axId val="230942592"/>
        <c:axId val="0"/>
      </c:bar3DChart>
      <c:catAx>
        <c:axId val="230941056"/>
        <c:scaling>
          <c:orientation val="minMax"/>
        </c:scaling>
        <c:delete val="0"/>
        <c:axPos val="l"/>
        <c:numFmt formatCode="General" sourceLinked="0"/>
        <c:majorTickMark val="none"/>
        <c:minorTickMark val="none"/>
        <c:tickLblPos val="nextTo"/>
        <c:txPr>
          <a:bodyPr/>
          <a:lstStyle/>
          <a:p>
            <a:pPr>
              <a:defRPr sz="800" b="1"/>
            </a:pPr>
            <a:endParaRPr lang="it-IT"/>
          </a:p>
        </c:txPr>
        <c:crossAx val="230942592"/>
        <c:crosses val="autoZero"/>
        <c:auto val="1"/>
        <c:lblAlgn val="ctr"/>
        <c:lblOffset val="100"/>
        <c:noMultiLvlLbl val="0"/>
      </c:catAx>
      <c:valAx>
        <c:axId val="23094259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0941056"/>
        <c:crosses val="autoZero"/>
        <c:crossBetween val="between"/>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 fegato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Tumori'!$K$431</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17,8*</a:t>
                    </a:r>
                  </a:p>
                </c:rich>
              </c:tx>
              <c:spPr/>
              <c:showLegendKey val="0"/>
              <c:showVal val="1"/>
              <c:showCatName val="0"/>
              <c:showSerName val="0"/>
              <c:showPercent val="0"/>
              <c:showBubbleSize val="0"/>
            </c:dLbl>
            <c:dLbl>
              <c:idx val="1"/>
              <c:spPr/>
              <c:txPr>
                <a:bodyPr/>
                <a:lstStyle/>
                <a:p>
                  <a:pPr>
                    <a:defRPr sz="800" b="1">
                      <a:solidFill>
                        <a:sysClr val="windowText" lastClr="000000"/>
                      </a:solidFill>
                    </a:defRPr>
                  </a:pPr>
                  <a:endParaRPr lang="it-IT"/>
                </a:p>
              </c:tx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Tumori'!$J$432:$J$434</c:f>
              <c:strCache>
                <c:ptCount val="3"/>
                <c:pt idx="0">
                  <c:v>CREMA</c:v>
                </c:pt>
                <c:pt idx="1">
                  <c:v>CREMONA</c:v>
                </c:pt>
                <c:pt idx="2">
                  <c:v>MANTOVA</c:v>
                </c:pt>
              </c:strCache>
            </c:strRef>
          </c:cat>
          <c:val>
            <c:numRef>
              <c:f>'Incidenza Tumori'!$K$432:$K$434</c:f>
              <c:numCache>
                <c:formatCode>0.0</c:formatCode>
                <c:ptCount val="3"/>
                <c:pt idx="0">
                  <c:v>17.779999999999987</c:v>
                </c:pt>
                <c:pt idx="1">
                  <c:v>14.93</c:v>
                </c:pt>
                <c:pt idx="2">
                  <c:v>10.34</c:v>
                </c:pt>
              </c:numCache>
            </c:numRef>
          </c:val>
        </c:ser>
        <c:ser>
          <c:idx val="1"/>
          <c:order val="1"/>
          <c:tx>
            <c:strRef>
              <c:f>'Incidenza Tumori'!$L$431</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58,5*</a:t>
                    </a:r>
                  </a:p>
                </c:rich>
              </c:tx>
              <c:spPr/>
              <c:showLegendKey val="0"/>
              <c:showVal val="1"/>
              <c:showCatName val="0"/>
              <c:showSerName val="0"/>
              <c:showPercent val="0"/>
              <c:showBubbleSize val="0"/>
            </c:dLbl>
            <c:dLbl>
              <c:idx val="1"/>
              <c:tx>
                <c:rich>
                  <a:bodyPr/>
                  <a:lstStyle/>
                  <a:p>
                    <a:pPr>
                      <a:defRPr sz="800" b="1">
                        <a:solidFill>
                          <a:srgbClr val="FF0000"/>
                        </a:solidFill>
                      </a:defRPr>
                    </a:pPr>
                    <a:r>
                      <a:rPr lang="en-US"/>
                      <a:t>55,1*</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Tumori'!$J$432:$J$434</c:f>
              <c:strCache>
                <c:ptCount val="3"/>
                <c:pt idx="0">
                  <c:v>CREMA</c:v>
                </c:pt>
                <c:pt idx="1">
                  <c:v>CREMONA</c:v>
                </c:pt>
                <c:pt idx="2">
                  <c:v>MANTOVA</c:v>
                </c:pt>
              </c:strCache>
            </c:strRef>
          </c:cat>
          <c:val>
            <c:numRef>
              <c:f>'Incidenza Tumori'!$L$432:$L$434</c:f>
              <c:numCache>
                <c:formatCode>0.0</c:formatCode>
                <c:ptCount val="3"/>
                <c:pt idx="0">
                  <c:v>58.54</c:v>
                </c:pt>
                <c:pt idx="1">
                  <c:v>55.13</c:v>
                </c:pt>
                <c:pt idx="2">
                  <c:v>32.370000000000005</c:v>
                </c:pt>
              </c:numCache>
            </c:numRef>
          </c:val>
        </c:ser>
        <c:dLbls>
          <c:showLegendKey val="0"/>
          <c:showVal val="0"/>
          <c:showCatName val="0"/>
          <c:showSerName val="0"/>
          <c:showPercent val="0"/>
          <c:showBubbleSize val="0"/>
        </c:dLbls>
        <c:gapWidth val="150"/>
        <c:shape val="box"/>
        <c:axId val="231695488"/>
        <c:axId val="231697024"/>
        <c:axId val="0"/>
      </c:bar3DChart>
      <c:catAx>
        <c:axId val="231695488"/>
        <c:scaling>
          <c:orientation val="minMax"/>
        </c:scaling>
        <c:delete val="0"/>
        <c:axPos val="l"/>
        <c:majorTickMark val="none"/>
        <c:minorTickMark val="none"/>
        <c:tickLblPos val="nextTo"/>
        <c:txPr>
          <a:bodyPr/>
          <a:lstStyle/>
          <a:p>
            <a:pPr>
              <a:defRPr sz="800" b="1"/>
            </a:pPr>
            <a:endParaRPr lang="it-IT"/>
          </a:p>
        </c:txPr>
        <c:crossAx val="231697024"/>
        <c:crosses val="autoZero"/>
        <c:auto val="1"/>
        <c:lblAlgn val="ctr"/>
        <c:lblOffset val="100"/>
        <c:noMultiLvlLbl val="0"/>
      </c:catAx>
      <c:valAx>
        <c:axId val="23169702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1695488"/>
        <c:crosses val="autoZero"/>
        <c:crossBetween val="between"/>
      </c:valAx>
    </c:plotArea>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Tumore del fegato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giusta'!$Q$51</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15,2*</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giusta'!$P$52:$P$54</c:f>
              <c:strCache>
                <c:ptCount val="3"/>
                <c:pt idx="0">
                  <c:v>CREMA</c:v>
                </c:pt>
                <c:pt idx="1">
                  <c:v>CREMONA</c:v>
                </c:pt>
                <c:pt idx="2">
                  <c:v>MANTOVA</c:v>
                </c:pt>
              </c:strCache>
            </c:strRef>
          </c:cat>
          <c:val>
            <c:numRef>
              <c:f>'mortalità giusta'!$Q$52:$Q$54</c:f>
              <c:numCache>
                <c:formatCode>0.0</c:formatCode>
                <c:ptCount val="3"/>
                <c:pt idx="0">
                  <c:v>15.24</c:v>
                </c:pt>
                <c:pt idx="1">
                  <c:v>10.91</c:v>
                </c:pt>
                <c:pt idx="2">
                  <c:v>10.47</c:v>
                </c:pt>
              </c:numCache>
            </c:numRef>
          </c:val>
        </c:ser>
        <c:ser>
          <c:idx val="1"/>
          <c:order val="1"/>
          <c:tx>
            <c:strRef>
              <c:f>'mortalità giusta'!$R$51</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43,5*</a:t>
                    </a:r>
                  </a:p>
                </c:rich>
              </c:tx>
              <c:spPr>
                <a:noFill/>
                <a:ln>
                  <a:noFill/>
                </a:ln>
                <a:effectLst/>
              </c:spPr>
              <c:showLegendKey val="0"/>
              <c:showVal val="1"/>
              <c:showCatName val="0"/>
              <c:showSerName val="0"/>
              <c:showPercent val="0"/>
              <c:showBubbleSize val="0"/>
            </c:dLbl>
            <c:dLbl>
              <c:idx val="1"/>
              <c:tx>
                <c:rich>
                  <a:bodyPr/>
                  <a:lstStyle/>
                  <a:p>
                    <a:pPr>
                      <a:defRPr sz="800" b="1">
                        <a:solidFill>
                          <a:srgbClr val="FF0000"/>
                        </a:solidFill>
                      </a:defRPr>
                    </a:pPr>
                    <a:r>
                      <a:rPr lang="en-US"/>
                      <a:t>38,9*</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giusta'!$P$52:$P$54</c:f>
              <c:strCache>
                <c:ptCount val="3"/>
                <c:pt idx="0">
                  <c:v>CREMA</c:v>
                </c:pt>
                <c:pt idx="1">
                  <c:v>CREMONA</c:v>
                </c:pt>
                <c:pt idx="2">
                  <c:v>MANTOVA</c:v>
                </c:pt>
              </c:strCache>
            </c:strRef>
          </c:cat>
          <c:val>
            <c:numRef>
              <c:f>'mortalità giusta'!$R$52:$R$54</c:f>
              <c:numCache>
                <c:formatCode>0.0</c:formatCode>
                <c:ptCount val="3"/>
                <c:pt idx="0">
                  <c:v>43.53</c:v>
                </c:pt>
                <c:pt idx="1">
                  <c:v>38.93</c:v>
                </c:pt>
                <c:pt idx="2">
                  <c:v>28.07</c:v>
                </c:pt>
              </c:numCache>
            </c:numRef>
          </c:val>
        </c:ser>
        <c:dLbls>
          <c:showLegendKey val="0"/>
          <c:showVal val="0"/>
          <c:showCatName val="0"/>
          <c:showSerName val="0"/>
          <c:showPercent val="0"/>
          <c:showBubbleSize val="0"/>
        </c:dLbls>
        <c:gapWidth val="150"/>
        <c:shape val="box"/>
        <c:axId val="232498688"/>
        <c:axId val="232500224"/>
        <c:axId val="0"/>
      </c:bar3DChart>
      <c:catAx>
        <c:axId val="232498688"/>
        <c:scaling>
          <c:orientation val="minMax"/>
        </c:scaling>
        <c:delete val="0"/>
        <c:axPos val="l"/>
        <c:numFmt formatCode="General" sourceLinked="0"/>
        <c:majorTickMark val="none"/>
        <c:minorTickMark val="none"/>
        <c:tickLblPos val="nextTo"/>
        <c:txPr>
          <a:bodyPr/>
          <a:lstStyle/>
          <a:p>
            <a:pPr>
              <a:defRPr sz="800" b="1"/>
            </a:pPr>
            <a:endParaRPr lang="it-IT"/>
          </a:p>
        </c:txPr>
        <c:crossAx val="232500224"/>
        <c:crosses val="autoZero"/>
        <c:auto val="1"/>
        <c:lblAlgn val="ctr"/>
        <c:lblOffset val="100"/>
        <c:noMultiLvlLbl val="0"/>
      </c:catAx>
      <c:valAx>
        <c:axId val="23250022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2498688"/>
        <c:crosses val="autoZero"/>
        <c:crossBetween val="between"/>
      </c:valAx>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 pancreas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Tumori'!$K$471</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Tumori'!$J$472:$J$474</c:f>
              <c:strCache>
                <c:ptCount val="3"/>
                <c:pt idx="0">
                  <c:v>CREMA</c:v>
                </c:pt>
                <c:pt idx="1">
                  <c:v>CREMONA</c:v>
                </c:pt>
                <c:pt idx="2">
                  <c:v>MANTOVA</c:v>
                </c:pt>
              </c:strCache>
            </c:strRef>
          </c:cat>
          <c:val>
            <c:numRef>
              <c:f>'Incidenza Tumori'!$K$472:$K$474</c:f>
              <c:numCache>
                <c:formatCode>0.0</c:formatCode>
                <c:ptCount val="3"/>
                <c:pt idx="0">
                  <c:v>24.27</c:v>
                </c:pt>
                <c:pt idx="1">
                  <c:v>21.55</c:v>
                </c:pt>
                <c:pt idx="2">
                  <c:v>21.53</c:v>
                </c:pt>
              </c:numCache>
            </c:numRef>
          </c:val>
        </c:ser>
        <c:ser>
          <c:idx val="1"/>
          <c:order val="1"/>
          <c:tx>
            <c:strRef>
              <c:f>'Incidenza Tumori'!$L$471</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Tumori'!$J$472:$J$474</c:f>
              <c:strCache>
                <c:ptCount val="3"/>
                <c:pt idx="0">
                  <c:v>CREMA</c:v>
                </c:pt>
                <c:pt idx="1">
                  <c:v>CREMONA</c:v>
                </c:pt>
                <c:pt idx="2">
                  <c:v>MANTOVA</c:v>
                </c:pt>
              </c:strCache>
            </c:strRef>
          </c:cat>
          <c:val>
            <c:numRef>
              <c:f>'Incidenza Tumori'!$L$472:$L$474</c:f>
              <c:numCache>
                <c:formatCode>0.0</c:formatCode>
                <c:ptCount val="3"/>
                <c:pt idx="0">
                  <c:v>31.419999999999987</c:v>
                </c:pt>
                <c:pt idx="1">
                  <c:v>31.810000000000027</c:v>
                </c:pt>
                <c:pt idx="2">
                  <c:v>26.130000000000027</c:v>
                </c:pt>
              </c:numCache>
            </c:numRef>
          </c:val>
        </c:ser>
        <c:dLbls>
          <c:showLegendKey val="0"/>
          <c:showVal val="0"/>
          <c:showCatName val="0"/>
          <c:showSerName val="0"/>
          <c:showPercent val="0"/>
          <c:showBubbleSize val="0"/>
        </c:dLbls>
        <c:gapWidth val="150"/>
        <c:shape val="box"/>
        <c:axId val="232702720"/>
        <c:axId val="232704256"/>
        <c:axId val="0"/>
      </c:bar3DChart>
      <c:catAx>
        <c:axId val="232702720"/>
        <c:scaling>
          <c:orientation val="minMax"/>
        </c:scaling>
        <c:delete val="0"/>
        <c:axPos val="l"/>
        <c:majorTickMark val="none"/>
        <c:minorTickMark val="none"/>
        <c:tickLblPos val="nextTo"/>
        <c:txPr>
          <a:bodyPr/>
          <a:lstStyle/>
          <a:p>
            <a:pPr>
              <a:defRPr sz="800" b="1"/>
            </a:pPr>
            <a:endParaRPr lang="it-IT"/>
          </a:p>
        </c:txPr>
        <c:crossAx val="232704256"/>
        <c:crosses val="autoZero"/>
        <c:auto val="1"/>
        <c:lblAlgn val="ctr"/>
        <c:lblOffset val="100"/>
        <c:noMultiLvlLbl val="0"/>
      </c:catAx>
      <c:valAx>
        <c:axId val="23270425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2702720"/>
        <c:crosses val="autoZero"/>
        <c:crossBetween val="between"/>
      </c:valAx>
    </c:plotArea>
    <c:plotVisOnly val="1"/>
    <c:dispBlanksAs val="gap"/>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Tumore del pancreas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giusta'!$Q$57</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24,0*</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giusta'!$P$58:$P$60</c:f>
              <c:strCache>
                <c:ptCount val="3"/>
                <c:pt idx="0">
                  <c:v>CREMA</c:v>
                </c:pt>
                <c:pt idx="1">
                  <c:v>CREMONA</c:v>
                </c:pt>
                <c:pt idx="2">
                  <c:v>MANTOVA</c:v>
                </c:pt>
              </c:strCache>
            </c:strRef>
          </c:cat>
          <c:val>
            <c:numRef>
              <c:f>'mortalità giusta'!$Q$58:$Q$60</c:f>
              <c:numCache>
                <c:formatCode>0.0</c:formatCode>
                <c:ptCount val="3"/>
                <c:pt idx="0">
                  <c:v>24.02</c:v>
                </c:pt>
                <c:pt idx="1">
                  <c:v>18.45</c:v>
                </c:pt>
                <c:pt idx="2">
                  <c:v>19.439999999999987</c:v>
                </c:pt>
              </c:numCache>
            </c:numRef>
          </c:val>
        </c:ser>
        <c:ser>
          <c:idx val="1"/>
          <c:order val="1"/>
          <c:tx>
            <c:strRef>
              <c:f>'mortalità giusta'!$R$57</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giusta'!$P$58:$P$60</c:f>
              <c:strCache>
                <c:ptCount val="3"/>
                <c:pt idx="0">
                  <c:v>CREMA</c:v>
                </c:pt>
                <c:pt idx="1">
                  <c:v>CREMONA</c:v>
                </c:pt>
                <c:pt idx="2">
                  <c:v>MANTOVA</c:v>
                </c:pt>
              </c:strCache>
            </c:strRef>
          </c:cat>
          <c:val>
            <c:numRef>
              <c:f>'mortalità giusta'!$R$58:$R$60</c:f>
              <c:numCache>
                <c:formatCode>0.0</c:formatCode>
                <c:ptCount val="3"/>
                <c:pt idx="0">
                  <c:v>26.95</c:v>
                </c:pt>
                <c:pt idx="1">
                  <c:v>27.279999999999987</c:v>
                </c:pt>
                <c:pt idx="2">
                  <c:v>24.4</c:v>
                </c:pt>
              </c:numCache>
            </c:numRef>
          </c:val>
        </c:ser>
        <c:dLbls>
          <c:showLegendKey val="0"/>
          <c:showVal val="0"/>
          <c:showCatName val="0"/>
          <c:showSerName val="0"/>
          <c:showPercent val="0"/>
          <c:showBubbleSize val="0"/>
        </c:dLbls>
        <c:gapWidth val="150"/>
        <c:shape val="box"/>
        <c:axId val="234078592"/>
        <c:axId val="234080128"/>
        <c:axId val="0"/>
      </c:bar3DChart>
      <c:catAx>
        <c:axId val="234078592"/>
        <c:scaling>
          <c:orientation val="minMax"/>
        </c:scaling>
        <c:delete val="0"/>
        <c:axPos val="l"/>
        <c:numFmt formatCode="General" sourceLinked="0"/>
        <c:majorTickMark val="none"/>
        <c:minorTickMark val="none"/>
        <c:tickLblPos val="nextTo"/>
        <c:txPr>
          <a:bodyPr/>
          <a:lstStyle/>
          <a:p>
            <a:pPr>
              <a:defRPr sz="800" b="1"/>
            </a:pPr>
            <a:endParaRPr lang="it-IT"/>
          </a:p>
        </c:txPr>
        <c:crossAx val="234080128"/>
        <c:crosses val="autoZero"/>
        <c:auto val="1"/>
        <c:lblAlgn val="ctr"/>
        <c:lblOffset val="100"/>
        <c:noMultiLvlLbl val="0"/>
      </c:catAx>
      <c:valAx>
        <c:axId val="23408012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4078592"/>
        <c:crosses val="autoZero"/>
        <c:crossBetween val="between"/>
      </c:valAx>
    </c:plotArea>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I-Tumore del polmone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Tumori'!$K$478</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Tumori'!$J$479:$J$481</c:f>
              <c:strCache>
                <c:ptCount val="3"/>
                <c:pt idx="0">
                  <c:v>CREMA</c:v>
                </c:pt>
                <c:pt idx="1">
                  <c:v>CREMONA</c:v>
                </c:pt>
                <c:pt idx="2">
                  <c:v>MANTOVA</c:v>
                </c:pt>
              </c:strCache>
            </c:strRef>
          </c:cat>
          <c:val>
            <c:numRef>
              <c:f>'Incidenza Tumori'!$K$479:$K$481</c:f>
              <c:numCache>
                <c:formatCode>0.0</c:formatCode>
                <c:ptCount val="3"/>
                <c:pt idx="0">
                  <c:v>34.11</c:v>
                </c:pt>
                <c:pt idx="1">
                  <c:v>32.75</c:v>
                </c:pt>
                <c:pt idx="2">
                  <c:v>33.51</c:v>
                </c:pt>
              </c:numCache>
            </c:numRef>
          </c:val>
        </c:ser>
        <c:ser>
          <c:idx val="1"/>
          <c:order val="1"/>
          <c:tx>
            <c:strRef>
              <c:f>'Incidenza Tumori'!$L$478</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Tumori'!$J$479:$J$481</c:f>
              <c:strCache>
                <c:ptCount val="3"/>
                <c:pt idx="0">
                  <c:v>CREMA</c:v>
                </c:pt>
                <c:pt idx="1">
                  <c:v>CREMONA</c:v>
                </c:pt>
                <c:pt idx="2">
                  <c:v>MANTOVA</c:v>
                </c:pt>
              </c:strCache>
            </c:strRef>
          </c:cat>
          <c:val>
            <c:numRef>
              <c:f>'Incidenza Tumori'!$L$479:$L$481</c:f>
              <c:numCache>
                <c:formatCode>0.0</c:formatCode>
                <c:ptCount val="3"/>
                <c:pt idx="0">
                  <c:v>128.34</c:v>
                </c:pt>
                <c:pt idx="1">
                  <c:v>133.06</c:v>
                </c:pt>
                <c:pt idx="2">
                  <c:v>136.22</c:v>
                </c:pt>
              </c:numCache>
            </c:numRef>
          </c:val>
        </c:ser>
        <c:dLbls>
          <c:showLegendKey val="0"/>
          <c:showVal val="0"/>
          <c:showCatName val="0"/>
          <c:showSerName val="0"/>
          <c:showPercent val="0"/>
          <c:showBubbleSize val="0"/>
        </c:dLbls>
        <c:gapWidth val="150"/>
        <c:shape val="box"/>
        <c:axId val="234040704"/>
        <c:axId val="234607744"/>
        <c:axId val="0"/>
      </c:bar3DChart>
      <c:catAx>
        <c:axId val="234040704"/>
        <c:scaling>
          <c:orientation val="minMax"/>
        </c:scaling>
        <c:delete val="0"/>
        <c:axPos val="l"/>
        <c:majorTickMark val="none"/>
        <c:minorTickMark val="none"/>
        <c:tickLblPos val="nextTo"/>
        <c:txPr>
          <a:bodyPr/>
          <a:lstStyle/>
          <a:p>
            <a:pPr>
              <a:defRPr sz="800" b="1"/>
            </a:pPr>
            <a:endParaRPr lang="it-IT"/>
          </a:p>
        </c:txPr>
        <c:crossAx val="234607744"/>
        <c:crosses val="autoZero"/>
        <c:auto val="1"/>
        <c:lblAlgn val="ctr"/>
        <c:lblOffset val="100"/>
        <c:noMultiLvlLbl val="0"/>
      </c:catAx>
      <c:valAx>
        <c:axId val="23460774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4040704"/>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Cremona</a:t>
            </a:r>
          </a:p>
        </c:rich>
      </c:tx>
      <c:layout>
        <c:manualLayout>
          <c:xMode val="edge"/>
          <c:yMode val="edge"/>
          <c:x val="0.42411811023622081"/>
          <c:y val="1.9207685494063556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PIRAMIDI!$B$54</c:f>
              <c:strCache>
                <c:ptCount val="1"/>
                <c:pt idx="0">
                  <c:v>F</c:v>
                </c:pt>
              </c:strCache>
            </c:strRef>
          </c:tx>
          <c:spPr>
            <a:solidFill>
              <a:srgbClr val="FF66FF"/>
            </a:solidFill>
          </c:spPr>
          <c:invertIfNegative val="0"/>
          <c:cat>
            <c:strRef>
              <c:f>PIRAMIDI!$A$55:$A$74</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PIRAMIDI!$B$55:$B$74</c:f>
              <c:numCache>
                <c:formatCode>0;[Red]0</c:formatCode>
                <c:ptCount val="20"/>
                <c:pt idx="0">
                  <c:v>-3844</c:v>
                </c:pt>
                <c:pt idx="1">
                  <c:v>-4288</c:v>
                </c:pt>
                <c:pt idx="2">
                  <c:v>-4065</c:v>
                </c:pt>
                <c:pt idx="3">
                  <c:v>-4127</c:v>
                </c:pt>
                <c:pt idx="4">
                  <c:v>-4304</c:v>
                </c:pt>
                <c:pt idx="5">
                  <c:v>-4942</c:v>
                </c:pt>
                <c:pt idx="6">
                  <c:v>-5390</c:v>
                </c:pt>
                <c:pt idx="7">
                  <c:v>-6324</c:v>
                </c:pt>
                <c:pt idx="8">
                  <c:v>-7382</c:v>
                </c:pt>
                <c:pt idx="9">
                  <c:v>-7796</c:v>
                </c:pt>
                <c:pt idx="10">
                  <c:v>-7861</c:v>
                </c:pt>
                <c:pt idx="11">
                  <c:v>-6879</c:v>
                </c:pt>
                <c:pt idx="12">
                  <c:v>-6141</c:v>
                </c:pt>
                <c:pt idx="13">
                  <c:v>-6686</c:v>
                </c:pt>
                <c:pt idx="14">
                  <c:v>-5424</c:v>
                </c:pt>
                <c:pt idx="15">
                  <c:v>-5924</c:v>
                </c:pt>
                <c:pt idx="16">
                  <c:v>-4981</c:v>
                </c:pt>
                <c:pt idx="17">
                  <c:v>-3785</c:v>
                </c:pt>
                <c:pt idx="18">
                  <c:v>-1956</c:v>
                </c:pt>
                <c:pt idx="19">
                  <c:v>-464</c:v>
                </c:pt>
              </c:numCache>
            </c:numRef>
          </c:val>
        </c:ser>
        <c:ser>
          <c:idx val="1"/>
          <c:order val="1"/>
          <c:tx>
            <c:strRef>
              <c:f>PIRAMIDI!$C$54</c:f>
              <c:strCache>
                <c:ptCount val="1"/>
                <c:pt idx="0">
                  <c:v>M</c:v>
                </c:pt>
              </c:strCache>
            </c:strRef>
          </c:tx>
          <c:spPr>
            <a:solidFill>
              <a:srgbClr val="00B0F0"/>
            </a:solidFill>
          </c:spPr>
          <c:invertIfNegative val="0"/>
          <c:cat>
            <c:strRef>
              <c:f>PIRAMIDI!$A$55:$A$74</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PIRAMIDI!$C$55:$C$74</c:f>
              <c:numCache>
                <c:formatCode>General</c:formatCode>
                <c:ptCount val="20"/>
                <c:pt idx="0">
                  <c:v>4196</c:v>
                </c:pt>
                <c:pt idx="1">
                  <c:v>4616</c:v>
                </c:pt>
                <c:pt idx="2">
                  <c:v>4443</c:v>
                </c:pt>
                <c:pt idx="3">
                  <c:v>4537</c:v>
                </c:pt>
                <c:pt idx="4">
                  <c:v>4602</c:v>
                </c:pt>
                <c:pt idx="5">
                  <c:v>5075</c:v>
                </c:pt>
                <c:pt idx="6">
                  <c:v>5593</c:v>
                </c:pt>
                <c:pt idx="7">
                  <c:v>6640</c:v>
                </c:pt>
                <c:pt idx="8">
                  <c:v>7729</c:v>
                </c:pt>
                <c:pt idx="9">
                  <c:v>8464</c:v>
                </c:pt>
                <c:pt idx="10">
                  <c:v>7904</c:v>
                </c:pt>
                <c:pt idx="11">
                  <c:v>6885</c:v>
                </c:pt>
                <c:pt idx="12">
                  <c:v>5973</c:v>
                </c:pt>
                <c:pt idx="13">
                  <c:v>6378</c:v>
                </c:pt>
                <c:pt idx="14">
                  <c:v>4426</c:v>
                </c:pt>
                <c:pt idx="15">
                  <c:v>4521</c:v>
                </c:pt>
                <c:pt idx="16">
                  <c:v>3029</c:v>
                </c:pt>
                <c:pt idx="17">
                  <c:v>1643</c:v>
                </c:pt>
                <c:pt idx="18">
                  <c:v>608</c:v>
                </c:pt>
                <c:pt idx="19">
                  <c:v>90</c:v>
                </c:pt>
              </c:numCache>
            </c:numRef>
          </c:val>
        </c:ser>
        <c:dLbls>
          <c:showLegendKey val="0"/>
          <c:showVal val="0"/>
          <c:showCatName val="0"/>
          <c:showSerName val="0"/>
          <c:showPercent val="0"/>
          <c:showBubbleSize val="0"/>
        </c:dLbls>
        <c:gapWidth val="0"/>
        <c:gapDepth val="0"/>
        <c:shape val="box"/>
        <c:axId val="219176320"/>
        <c:axId val="219178112"/>
        <c:axId val="0"/>
      </c:bar3DChart>
      <c:catAx>
        <c:axId val="219176320"/>
        <c:scaling>
          <c:orientation val="minMax"/>
        </c:scaling>
        <c:delete val="1"/>
        <c:axPos val="l"/>
        <c:majorTickMark val="none"/>
        <c:minorTickMark val="none"/>
        <c:tickLblPos val="none"/>
        <c:crossAx val="219178112"/>
        <c:crosses val="autoZero"/>
        <c:auto val="1"/>
        <c:lblAlgn val="ctr"/>
        <c:lblOffset val="100"/>
        <c:noMultiLvlLbl val="0"/>
      </c:catAx>
      <c:valAx>
        <c:axId val="219178112"/>
        <c:scaling>
          <c:orientation val="minMax"/>
        </c:scaling>
        <c:delete val="0"/>
        <c:axPos val="b"/>
        <c:majorGridlines/>
        <c:numFmt formatCode="0;[Red]0" sourceLinked="1"/>
        <c:majorTickMark val="none"/>
        <c:minorTickMark val="none"/>
        <c:tickLblPos val="nextTo"/>
        <c:txPr>
          <a:bodyPr/>
          <a:lstStyle/>
          <a:p>
            <a:pPr>
              <a:defRPr sz="800">
                <a:latin typeface="+mn-lt"/>
              </a:defRPr>
            </a:pPr>
            <a:endParaRPr lang="it-IT"/>
          </a:p>
        </c:txPr>
        <c:crossAx val="219176320"/>
        <c:crosses val="autoZero"/>
        <c:crossBetween val="between"/>
        <c:majorUnit val="5000"/>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M-Tumore del polmone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x100000'!$Q$35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x100000'!$P$36:$P$38</c:f>
              <c:strCache>
                <c:ptCount val="3"/>
                <c:pt idx="0">
                  <c:v>CREMA</c:v>
                </c:pt>
                <c:pt idx="1">
                  <c:v>CREMONA</c:v>
                </c:pt>
                <c:pt idx="2">
                  <c:v>MANTOVA</c:v>
                </c:pt>
              </c:strCache>
            </c:strRef>
          </c:cat>
          <c:val>
            <c:numRef>
              <c:f>'mortalita 2007-2015 x100000'!$Q$36:$Q$38</c:f>
              <c:numCache>
                <c:formatCode>0.0</c:formatCode>
                <c:ptCount val="3"/>
                <c:pt idx="0">
                  <c:v>28.87</c:v>
                </c:pt>
                <c:pt idx="1">
                  <c:v>28.72</c:v>
                </c:pt>
                <c:pt idx="2">
                  <c:v>26.64</c:v>
                </c:pt>
              </c:numCache>
            </c:numRef>
          </c:val>
        </c:ser>
        <c:ser>
          <c:idx val="1"/>
          <c:order val="1"/>
          <c:tx>
            <c:strRef>
              <c:f>'mortalita 2007-2015 x100000'!$R$35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x100000'!$P$36:$P$38</c:f>
              <c:strCache>
                <c:ptCount val="3"/>
                <c:pt idx="0">
                  <c:v>CREMA</c:v>
                </c:pt>
                <c:pt idx="1">
                  <c:v>CREMONA</c:v>
                </c:pt>
                <c:pt idx="2">
                  <c:v>MANTOVA</c:v>
                </c:pt>
              </c:strCache>
            </c:strRef>
          </c:cat>
          <c:val>
            <c:numRef>
              <c:f>'mortalita 2007-2015 x100000'!$R$36:$R$38</c:f>
              <c:numCache>
                <c:formatCode>0.0</c:formatCode>
                <c:ptCount val="3"/>
                <c:pt idx="0">
                  <c:v>109.66999999999999</c:v>
                </c:pt>
                <c:pt idx="1">
                  <c:v>108.51</c:v>
                </c:pt>
                <c:pt idx="2">
                  <c:v>113.03</c:v>
                </c:pt>
              </c:numCache>
            </c:numRef>
          </c:val>
        </c:ser>
        <c:dLbls>
          <c:showLegendKey val="0"/>
          <c:showVal val="0"/>
          <c:showCatName val="0"/>
          <c:showSerName val="0"/>
          <c:showPercent val="0"/>
          <c:showBubbleSize val="0"/>
        </c:dLbls>
        <c:gapWidth val="150"/>
        <c:shape val="box"/>
        <c:axId val="235571840"/>
        <c:axId val="235692416"/>
        <c:axId val="0"/>
      </c:bar3DChart>
      <c:catAx>
        <c:axId val="235571840"/>
        <c:scaling>
          <c:orientation val="minMax"/>
        </c:scaling>
        <c:delete val="0"/>
        <c:axPos val="l"/>
        <c:majorTickMark val="none"/>
        <c:minorTickMark val="none"/>
        <c:tickLblPos val="nextTo"/>
        <c:txPr>
          <a:bodyPr/>
          <a:lstStyle/>
          <a:p>
            <a:pPr>
              <a:defRPr sz="800" b="1"/>
            </a:pPr>
            <a:endParaRPr lang="it-IT"/>
          </a:p>
        </c:txPr>
        <c:crossAx val="235692416"/>
        <c:crosses val="autoZero"/>
        <c:auto val="1"/>
        <c:lblAlgn val="ctr"/>
        <c:lblOffset val="100"/>
        <c:noMultiLvlLbl val="0"/>
      </c:catAx>
      <c:valAx>
        <c:axId val="23569241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5571840"/>
        <c:crosses val="autoZero"/>
        <c:crossBetween val="between"/>
      </c:valAx>
    </c:plotArea>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I-Tumore della tiroide</a:t>
            </a:r>
          </a:p>
        </c:rich>
      </c:tx>
      <c:layout>
        <c:manualLayout>
          <c:xMode val="edge"/>
          <c:yMode val="edge"/>
          <c:x val="0.39125596256989686"/>
          <c:y val="3.2840722495894974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Tumori'!$K$507</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31,7*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Tumori'!$J$508:$J$510</c:f>
              <c:strCache>
                <c:ptCount val="3"/>
                <c:pt idx="0">
                  <c:v>CREMA</c:v>
                </c:pt>
                <c:pt idx="1">
                  <c:v>CREMONA</c:v>
                </c:pt>
                <c:pt idx="2">
                  <c:v>MANTOVA</c:v>
                </c:pt>
              </c:strCache>
            </c:strRef>
          </c:cat>
          <c:val>
            <c:numRef>
              <c:f>'Incidenza Tumori'!$K$508:$K$510</c:f>
              <c:numCache>
                <c:formatCode>0.0</c:formatCode>
                <c:ptCount val="3"/>
                <c:pt idx="0">
                  <c:v>21.310000000000027</c:v>
                </c:pt>
                <c:pt idx="1">
                  <c:v>19.079999999999988</c:v>
                </c:pt>
                <c:pt idx="2">
                  <c:v>31.69</c:v>
                </c:pt>
              </c:numCache>
            </c:numRef>
          </c:val>
        </c:ser>
        <c:ser>
          <c:idx val="1"/>
          <c:order val="1"/>
          <c:tx>
            <c:strRef>
              <c:f>'Incidenza Tumori'!$L$507</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Tumori'!$J$508:$J$510</c:f>
              <c:strCache>
                <c:ptCount val="3"/>
                <c:pt idx="0">
                  <c:v>CREMA</c:v>
                </c:pt>
                <c:pt idx="1">
                  <c:v>CREMONA</c:v>
                </c:pt>
                <c:pt idx="2">
                  <c:v>MANTOVA</c:v>
                </c:pt>
              </c:strCache>
            </c:strRef>
          </c:cat>
          <c:val>
            <c:numRef>
              <c:f>'Incidenza Tumori'!$L$508:$L$510</c:f>
              <c:numCache>
                <c:formatCode>0.0</c:formatCode>
                <c:ptCount val="3"/>
                <c:pt idx="0">
                  <c:v>4.74</c:v>
                </c:pt>
                <c:pt idx="1">
                  <c:v>7.08</c:v>
                </c:pt>
                <c:pt idx="2">
                  <c:v>10.33</c:v>
                </c:pt>
              </c:numCache>
            </c:numRef>
          </c:val>
        </c:ser>
        <c:dLbls>
          <c:showLegendKey val="0"/>
          <c:showVal val="0"/>
          <c:showCatName val="0"/>
          <c:showSerName val="0"/>
          <c:showPercent val="0"/>
          <c:showBubbleSize val="0"/>
        </c:dLbls>
        <c:gapWidth val="150"/>
        <c:shape val="box"/>
        <c:axId val="236132608"/>
        <c:axId val="236146688"/>
        <c:axId val="0"/>
      </c:bar3DChart>
      <c:catAx>
        <c:axId val="236132608"/>
        <c:scaling>
          <c:orientation val="minMax"/>
        </c:scaling>
        <c:delete val="0"/>
        <c:axPos val="l"/>
        <c:majorTickMark val="none"/>
        <c:minorTickMark val="none"/>
        <c:tickLblPos val="nextTo"/>
        <c:txPr>
          <a:bodyPr/>
          <a:lstStyle/>
          <a:p>
            <a:pPr>
              <a:defRPr sz="800" b="1"/>
            </a:pPr>
            <a:endParaRPr lang="it-IT"/>
          </a:p>
        </c:txPr>
        <c:crossAx val="236146688"/>
        <c:crosses val="autoZero"/>
        <c:auto val="1"/>
        <c:lblAlgn val="ctr"/>
        <c:lblOffset val="100"/>
        <c:noMultiLvlLbl val="0"/>
      </c:catAx>
      <c:valAx>
        <c:axId val="23614668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6132608"/>
        <c:crosses val="autoZero"/>
        <c:crossBetween val="between"/>
      </c:valAx>
    </c:plotArea>
    <c:plotVisOnly val="1"/>
    <c:dispBlanksAs val="gap"/>
    <c:showDLblsOverMax val="0"/>
  </c:chart>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Tumore della tiroide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giusta'!$Q$92</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giusta'!$P$93:$P$95</c:f>
              <c:strCache>
                <c:ptCount val="3"/>
                <c:pt idx="0">
                  <c:v>CREMA</c:v>
                </c:pt>
                <c:pt idx="1">
                  <c:v>CREMONA</c:v>
                </c:pt>
                <c:pt idx="2">
                  <c:v>MANTOVA</c:v>
                </c:pt>
              </c:strCache>
            </c:strRef>
          </c:cat>
          <c:val>
            <c:numRef>
              <c:f>'mortalità giusta'!$Q$93:$Q$95</c:f>
              <c:numCache>
                <c:formatCode>0.0</c:formatCode>
                <c:ptCount val="3"/>
                <c:pt idx="0">
                  <c:v>1.49</c:v>
                </c:pt>
                <c:pt idx="1">
                  <c:v>0.92</c:v>
                </c:pt>
                <c:pt idx="2">
                  <c:v>1.32</c:v>
                </c:pt>
              </c:numCache>
            </c:numRef>
          </c:val>
        </c:ser>
        <c:ser>
          <c:idx val="1"/>
          <c:order val="1"/>
          <c:tx>
            <c:strRef>
              <c:f>'mortalità giusta'!$R$92</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giusta'!$P$93:$P$95</c:f>
              <c:strCache>
                <c:ptCount val="3"/>
                <c:pt idx="0">
                  <c:v>CREMA</c:v>
                </c:pt>
                <c:pt idx="1">
                  <c:v>CREMONA</c:v>
                </c:pt>
                <c:pt idx="2">
                  <c:v>MANTOVA</c:v>
                </c:pt>
              </c:strCache>
            </c:strRef>
          </c:cat>
          <c:val>
            <c:numRef>
              <c:f>'mortalità giusta'!$R$93:$R$95</c:f>
              <c:numCache>
                <c:formatCode>0.0</c:formatCode>
                <c:ptCount val="3"/>
                <c:pt idx="0">
                  <c:v>1.1299999999999979</c:v>
                </c:pt>
                <c:pt idx="1">
                  <c:v>1.1399999999999979</c:v>
                </c:pt>
                <c:pt idx="2">
                  <c:v>1.1100000000000001</c:v>
                </c:pt>
              </c:numCache>
            </c:numRef>
          </c:val>
        </c:ser>
        <c:dLbls>
          <c:showLegendKey val="0"/>
          <c:showVal val="0"/>
          <c:showCatName val="0"/>
          <c:showSerName val="0"/>
          <c:showPercent val="0"/>
          <c:showBubbleSize val="0"/>
        </c:dLbls>
        <c:gapWidth val="150"/>
        <c:shape val="box"/>
        <c:axId val="236578304"/>
        <c:axId val="236579840"/>
        <c:axId val="0"/>
      </c:bar3DChart>
      <c:catAx>
        <c:axId val="236578304"/>
        <c:scaling>
          <c:orientation val="minMax"/>
        </c:scaling>
        <c:delete val="0"/>
        <c:axPos val="l"/>
        <c:numFmt formatCode="General" sourceLinked="0"/>
        <c:majorTickMark val="none"/>
        <c:minorTickMark val="none"/>
        <c:tickLblPos val="nextTo"/>
        <c:txPr>
          <a:bodyPr/>
          <a:lstStyle/>
          <a:p>
            <a:pPr>
              <a:defRPr sz="800" b="1"/>
            </a:pPr>
            <a:endParaRPr lang="it-IT"/>
          </a:p>
        </c:txPr>
        <c:crossAx val="236579840"/>
        <c:crosses val="autoZero"/>
        <c:auto val="1"/>
        <c:lblAlgn val="ctr"/>
        <c:lblOffset val="100"/>
        <c:noMultiLvlLbl val="0"/>
      </c:catAx>
      <c:valAx>
        <c:axId val="2365798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6578304"/>
        <c:crosses val="autoZero"/>
        <c:crossBetween val="between"/>
      </c:valAx>
    </c:plotArea>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Tumore dello stomaco</a:t>
            </a:r>
          </a:p>
        </c:rich>
      </c:tx>
      <c:layout>
        <c:manualLayout>
          <c:xMode val="edge"/>
          <c:yMode val="edge"/>
          <c:x val="0.39125596256989686"/>
          <c:y val="3.2840722495894974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Tumori'!$K$495</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32,0*</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Tumori'!$J$496:$J$498</c:f>
              <c:strCache>
                <c:ptCount val="3"/>
                <c:pt idx="0">
                  <c:v>CREMA</c:v>
                </c:pt>
                <c:pt idx="1">
                  <c:v>CREMONA</c:v>
                </c:pt>
                <c:pt idx="2">
                  <c:v>MANTOVA</c:v>
                </c:pt>
              </c:strCache>
            </c:strRef>
          </c:cat>
          <c:val>
            <c:numRef>
              <c:f>'Incidenza Tumori'!$K$496:$K$498</c:f>
              <c:numCache>
                <c:formatCode>0.0</c:formatCode>
                <c:ptCount val="3"/>
                <c:pt idx="0">
                  <c:v>26.650000000000027</c:v>
                </c:pt>
                <c:pt idx="1">
                  <c:v>32</c:v>
                </c:pt>
                <c:pt idx="2">
                  <c:v>19.21</c:v>
                </c:pt>
              </c:numCache>
            </c:numRef>
          </c:val>
        </c:ser>
        <c:ser>
          <c:idx val="1"/>
          <c:order val="1"/>
          <c:tx>
            <c:strRef>
              <c:f>'Incidenza Tumori'!$L$495</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72,8*</a:t>
                    </a:r>
                  </a:p>
                </c:rich>
              </c:tx>
              <c:spPr/>
              <c:showLegendKey val="0"/>
              <c:showVal val="1"/>
              <c:showCatName val="0"/>
              <c:showSerName val="0"/>
              <c:showPercent val="0"/>
              <c:showBubbleSize val="0"/>
            </c:dLbl>
            <c:dLbl>
              <c:idx val="1"/>
              <c:tx>
                <c:rich>
                  <a:bodyPr/>
                  <a:lstStyle/>
                  <a:p>
                    <a:pPr>
                      <a:defRPr sz="800" b="1">
                        <a:solidFill>
                          <a:srgbClr val="FF0000"/>
                        </a:solidFill>
                      </a:defRPr>
                    </a:pPr>
                    <a:r>
                      <a:rPr lang="en-US"/>
                      <a:t>70,8*</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'Incidenza Tumori'!$J$496:$J$498</c:f>
              <c:strCache>
                <c:ptCount val="3"/>
                <c:pt idx="0">
                  <c:v>CREMA</c:v>
                </c:pt>
                <c:pt idx="1">
                  <c:v>CREMONA</c:v>
                </c:pt>
                <c:pt idx="2">
                  <c:v>MANTOVA</c:v>
                </c:pt>
              </c:strCache>
            </c:strRef>
          </c:cat>
          <c:val>
            <c:numRef>
              <c:f>'Incidenza Tumori'!$L$496:$L$498</c:f>
              <c:numCache>
                <c:formatCode>0.0</c:formatCode>
                <c:ptCount val="3"/>
                <c:pt idx="0">
                  <c:v>72.81</c:v>
                </c:pt>
                <c:pt idx="1">
                  <c:v>70.819999999999993</c:v>
                </c:pt>
                <c:pt idx="2">
                  <c:v>43.04</c:v>
                </c:pt>
              </c:numCache>
            </c:numRef>
          </c:val>
        </c:ser>
        <c:dLbls>
          <c:showLegendKey val="0"/>
          <c:showVal val="0"/>
          <c:showCatName val="0"/>
          <c:showSerName val="0"/>
          <c:showPercent val="0"/>
          <c:showBubbleSize val="0"/>
        </c:dLbls>
        <c:gapWidth val="150"/>
        <c:shape val="box"/>
        <c:axId val="236926848"/>
        <c:axId val="236928384"/>
        <c:axId val="0"/>
      </c:bar3DChart>
      <c:catAx>
        <c:axId val="236926848"/>
        <c:scaling>
          <c:orientation val="minMax"/>
        </c:scaling>
        <c:delete val="0"/>
        <c:axPos val="l"/>
        <c:majorTickMark val="none"/>
        <c:minorTickMark val="none"/>
        <c:tickLblPos val="nextTo"/>
        <c:txPr>
          <a:bodyPr/>
          <a:lstStyle/>
          <a:p>
            <a:pPr>
              <a:defRPr sz="800" b="1"/>
            </a:pPr>
            <a:endParaRPr lang="it-IT"/>
          </a:p>
        </c:txPr>
        <c:crossAx val="236928384"/>
        <c:crosses val="autoZero"/>
        <c:auto val="1"/>
        <c:lblAlgn val="ctr"/>
        <c:lblOffset val="100"/>
        <c:noMultiLvlLbl val="0"/>
      </c:catAx>
      <c:valAx>
        <c:axId val="23692838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6926848"/>
        <c:crosses val="autoZero"/>
        <c:crossBetween val="between"/>
      </c:valAx>
    </c:plotArea>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M-Tumore dello</a:t>
            </a:r>
            <a:r>
              <a:rPr lang="it-IT" sz="1200" baseline="0"/>
              <a:t> stomaco</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x100000'!$Q$51</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17,7*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x100000'!$P$52:$P$54</c:f>
              <c:strCache>
                <c:ptCount val="3"/>
                <c:pt idx="0">
                  <c:v>CREMA</c:v>
                </c:pt>
                <c:pt idx="1">
                  <c:v>CREMONA</c:v>
                </c:pt>
                <c:pt idx="2">
                  <c:v>MANTOVA</c:v>
                </c:pt>
              </c:strCache>
            </c:strRef>
          </c:cat>
          <c:val>
            <c:numRef>
              <c:f>'mortalita 2007-2015 x100000'!$Q$52:$Q$54</c:f>
              <c:numCache>
                <c:formatCode>0.0</c:formatCode>
                <c:ptCount val="3"/>
                <c:pt idx="0">
                  <c:v>15.74</c:v>
                </c:pt>
                <c:pt idx="1">
                  <c:v>17.68</c:v>
                </c:pt>
                <c:pt idx="2">
                  <c:v>14</c:v>
                </c:pt>
              </c:numCache>
            </c:numRef>
          </c:val>
        </c:ser>
        <c:ser>
          <c:idx val="1"/>
          <c:order val="1"/>
          <c:tx>
            <c:strRef>
              <c:f>'mortalita 2007-2015 x100000'!$R$51</c:f>
              <c:strCache>
                <c:ptCount val="1"/>
                <c:pt idx="0">
                  <c:v>M</c:v>
                </c:pt>
              </c:strCache>
            </c:strRef>
          </c:tx>
          <c:spPr>
            <a:solidFill>
              <a:srgbClr val="0066FF"/>
            </a:solidFill>
          </c:spPr>
          <c:invertIfNegative val="0"/>
          <c:dLbls>
            <c:dLbl>
              <c:idx val="1"/>
              <c:tx>
                <c:rich>
                  <a:bodyPr/>
                  <a:lstStyle/>
                  <a:p>
                    <a:pPr>
                      <a:defRPr sz="800" b="1">
                        <a:solidFill>
                          <a:srgbClr val="FF0000"/>
                        </a:solidFill>
                      </a:defRPr>
                    </a:pPr>
                    <a:r>
                      <a:rPr lang="en-US"/>
                      <a:t>40,0*</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x100000'!$P$52:$P$54</c:f>
              <c:strCache>
                <c:ptCount val="3"/>
                <c:pt idx="0">
                  <c:v>CREMA</c:v>
                </c:pt>
                <c:pt idx="1">
                  <c:v>CREMONA</c:v>
                </c:pt>
                <c:pt idx="2">
                  <c:v>MANTOVA</c:v>
                </c:pt>
              </c:strCache>
            </c:strRef>
          </c:cat>
          <c:val>
            <c:numRef>
              <c:f>'mortalita 2007-2015 x100000'!$R$52:$R$54</c:f>
              <c:numCache>
                <c:formatCode>0.0</c:formatCode>
                <c:ptCount val="3"/>
                <c:pt idx="0">
                  <c:v>38.39</c:v>
                </c:pt>
                <c:pt idx="1">
                  <c:v>40.03</c:v>
                </c:pt>
                <c:pt idx="2">
                  <c:v>31.64</c:v>
                </c:pt>
              </c:numCache>
            </c:numRef>
          </c:val>
        </c:ser>
        <c:dLbls>
          <c:showLegendKey val="0"/>
          <c:showVal val="0"/>
          <c:showCatName val="0"/>
          <c:showSerName val="0"/>
          <c:showPercent val="0"/>
          <c:showBubbleSize val="0"/>
        </c:dLbls>
        <c:gapWidth val="150"/>
        <c:shape val="box"/>
        <c:axId val="237000576"/>
        <c:axId val="237002112"/>
        <c:axId val="0"/>
      </c:bar3DChart>
      <c:catAx>
        <c:axId val="237000576"/>
        <c:scaling>
          <c:orientation val="minMax"/>
        </c:scaling>
        <c:delete val="0"/>
        <c:axPos val="l"/>
        <c:majorTickMark val="none"/>
        <c:minorTickMark val="none"/>
        <c:tickLblPos val="nextTo"/>
        <c:txPr>
          <a:bodyPr/>
          <a:lstStyle/>
          <a:p>
            <a:pPr>
              <a:defRPr sz="800" b="1"/>
            </a:pPr>
            <a:endParaRPr lang="it-IT"/>
          </a:p>
        </c:txPr>
        <c:crossAx val="237002112"/>
        <c:crosses val="autoZero"/>
        <c:auto val="1"/>
        <c:lblAlgn val="ctr"/>
        <c:lblOffset val="100"/>
        <c:noMultiLvlLbl val="0"/>
      </c:catAx>
      <c:valAx>
        <c:axId val="23700211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7000576"/>
        <c:crosses val="autoZero"/>
        <c:crossBetween val="between"/>
      </c:valAx>
    </c:plotArea>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Leucemie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Tumori'!$K$440</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43,9*</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Tumori'!$J$441:$J$443</c:f>
              <c:strCache>
                <c:ptCount val="3"/>
                <c:pt idx="0">
                  <c:v>CREMA</c:v>
                </c:pt>
                <c:pt idx="1">
                  <c:v>CREMONA</c:v>
                </c:pt>
                <c:pt idx="2">
                  <c:v>MANTOVA</c:v>
                </c:pt>
              </c:strCache>
            </c:strRef>
          </c:cat>
          <c:val>
            <c:numRef>
              <c:f>'Incidenza Tumori'!$K$441:$K$443</c:f>
              <c:numCache>
                <c:formatCode>0.0</c:formatCode>
                <c:ptCount val="3"/>
                <c:pt idx="0">
                  <c:v>39.11</c:v>
                </c:pt>
                <c:pt idx="1">
                  <c:v>43.93</c:v>
                </c:pt>
                <c:pt idx="2">
                  <c:v>38.92</c:v>
                </c:pt>
              </c:numCache>
            </c:numRef>
          </c:val>
        </c:ser>
        <c:ser>
          <c:idx val="1"/>
          <c:order val="1"/>
          <c:tx>
            <c:strRef>
              <c:f>'Incidenza Tumori'!$L$440</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65,3*</a:t>
                    </a:r>
                  </a:p>
                </c:rich>
              </c:tx>
              <c:spPr>
                <a:noFill/>
                <a:ln>
                  <a:noFill/>
                </a:ln>
                <a:effectLst/>
              </c:spPr>
              <c:showLegendKey val="0"/>
              <c:showVal val="1"/>
              <c:showCatName val="0"/>
              <c:showSerName val="0"/>
              <c:showPercent val="0"/>
              <c:showBubbleSize val="0"/>
            </c:dLbl>
            <c:dLbl>
              <c:idx val="1"/>
              <c:tx>
                <c:rich>
                  <a:bodyPr/>
                  <a:lstStyle/>
                  <a:p>
                    <a:pPr>
                      <a:defRPr sz="800" b="1">
                        <a:solidFill>
                          <a:srgbClr val="FF0000"/>
                        </a:solidFill>
                      </a:defRPr>
                    </a:pPr>
                    <a:r>
                      <a:rPr lang="en-US"/>
                      <a:t>69,3*</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Tumori'!$J$441:$J$443</c:f>
              <c:strCache>
                <c:ptCount val="3"/>
                <c:pt idx="0">
                  <c:v>CREMA</c:v>
                </c:pt>
                <c:pt idx="1">
                  <c:v>CREMONA</c:v>
                </c:pt>
                <c:pt idx="2">
                  <c:v>MANTOVA</c:v>
                </c:pt>
              </c:strCache>
            </c:strRef>
          </c:cat>
          <c:val>
            <c:numRef>
              <c:f>'Incidenza Tumori'!$L$441:$L$443</c:f>
              <c:numCache>
                <c:formatCode>0.0</c:formatCode>
                <c:ptCount val="3"/>
                <c:pt idx="0">
                  <c:v>65.27</c:v>
                </c:pt>
                <c:pt idx="1">
                  <c:v>69.3</c:v>
                </c:pt>
                <c:pt idx="2">
                  <c:v>54.99</c:v>
                </c:pt>
              </c:numCache>
            </c:numRef>
          </c:val>
        </c:ser>
        <c:dLbls>
          <c:showLegendKey val="0"/>
          <c:showVal val="0"/>
          <c:showCatName val="0"/>
          <c:showSerName val="0"/>
          <c:showPercent val="0"/>
          <c:showBubbleSize val="0"/>
        </c:dLbls>
        <c:gapWidth val="150"/>
        <c:shape val="box"/>
        <c:axId val="238295296"/>
        <c:axId val="238338048"/>
        <c:axId val="0"/>
      </c:bar3DChart>
      <c:catAx>
        <c:axId val="238295296"/>
        <c:scaling>
          <c:orientation val="minMax"/>
        </c:scaling>
        <c:delete val="0"/>
        <c:axPos val="l"/>
        <c:numFmt formatCode="General" sourceLinked="0"/>
        <c:majorTickMark val="none"/>
        <c:minorTickMark val="none"/>
        <c:tickLblPos val="nextTo"/>
        <c:txPr>
          <a:bodyPr/>
          <a:lstStyle/>
          <a:p>
            <a:pPr>
              <a:defRPr sz="800" b="1"/>
            </a:pPr>
            <a:endParaRPr lang="it-IT"/>
          </a:p>
        </c:txPr>
        <c:crossAx val="238338048"/>
        <c:crosses val="autoZero"/>
        <c:auto val="1"/>
        <c:lblAlgn val="ctr"/>
        <c:lblOffset val="100"/>
        <c:noMultiLvlLbl val="0"/>
      </c:catAx>
      <c:valAx>
        <c:axId val="23833804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38295296"/>
        <c:crosses val="autoZero"/>
        <c:crossBetween val="between"/>
      </c:valAx>
    </c:plotArea>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Leucemia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giusta'!$Q$15</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giusta'!$P$16:$P$18</c:f>
              <c:strCache>
                <c:ptCount val="3"/>
                <c:pt idx="0">
                  <c:v>CREMA</c:v>
                </c:pt>
                <c:pt idx="1">
                  <c:v>CREMONA</c:v>
                </c:pt>
                <c:pt idx="2">
                  <c:v>MANTOVA</c:v>
                </c:pt>
              </c:strCache>
            </c:strRef>
          </c:cat>
          <c:val>
            <c:numRef>
              <c:f>'mortalità giusta'!$Q$16:$Q$18</c:f>
              <c:numCache>
                <c:formatCode>0.0</c:formatCode>
                <c:ptCount val="3"/>
                <c:pt idx="0">
                  <c:v>7.26</c:v>
                </c:pt>
                <c:pt idx="1">
                  <c:v>7.87</c:v>
                </c:pt>
                <c:pt idx="2">
                  <c:v>7.09</c:v>
                </c:pt>
              </c:numCache>
            </c:numRef>
          </c:val>
        </c:ser>
        <c:ser>
          <c:idx val="1"/>
          <c:order val="1"/>
          <c:tx>
            <c:strRef>
              <c:f>'mortalità giusta'!$R$15</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giusta'!$P$16:$P$18</c:f>
              <c:strCache>
                <c:ptCount val="3"/>
                <c:pt idx="0">
                  <c:v>CREMA</c:v>
                </c:pt>
                <c:pt idx="1">
                  <c:v>CREMONA</c:v>
                </c:pt>
                <c:pt idx="2">
                  <c:v>MANTOVA</c:v>
                </c:pt>
              </c:strCache>
            </c:strRef>
          </c:cat>
          <c:val>
            <c:numRef>
              <c:f>'mortalità giusta'!$R$16:$R$18</c:f>
              <c:numCache>
                <c:formatCode>0.0</c:formatCode>
                <c:ptCount val="3"/>
                <c:pt idx="0">
                  <c:v>10.91</c:v>
                </c:pt>
                <c:pt idx="1">
                  <c:v>15.4</c:v>
                </c:pt>
                <c:pt idx="2">
                  <c:v>12.09</c:v>
                </c:pt>
              </c:numCache>
            </c:numRef>
          </c:val>
        </c:ser>
        <c:dLbls>
          <c:showLegendKey val="0"/>
          <c:showVal val="0"/>
          <c:showCatName val="0"/>
          <c:showSerName val="0"/>
          <c:showPercent val="0"/>
          <c:showBubbleSize val="0"/>
        </c:dLbls>
        <c:gapWidth val="150"/>
        <c:shape val="box"/>
        <c:axId val="242185728"/>
        <c:axId val="242187264"/>
        <c:axId val="0"/>
      </c:bar3DChart>
      <c:catAx>
        <c:axId val="242185728"/>
        <c:scaling>
          <c:orientation val="minMax"/>
        </c:scaling>
        <c:delete val="0"/>
        <c:axPos val="l"/>
        <c:numFmt formatCode="General" sourceLinked="0"/>
        <c:majorTickMark val="none"/>
        <c:minorTickMark val="none"/>
        <c:tickLblPos val="nextTo"/>
        <c:txPr>
          <a:bodyPr/>
          <a:lstStyle/>
          <a:p>
            <a:pPr>
              <a:defRPr sz="800" b="1"/>
            </a:pPr>
            <a:endParaRPr lang="it-IT"/>
          </a:p>
        </c:txPr>
        <c:crossAx val="242187264"/>
        <c:crosses val="autoZero"/>
        <c:auto val="1"/>
        <c:lblAlgn val="ctr"/>
        <c:lblOffset val="100"/>
        <c:noMultiLvlLbl val="0"/>
      </c:catAx>
      <c:valAx>
        <c:axId val="24218726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2185728"/>
        <c:crosses val="autoZero"/>
        <c:crossBetween val="between"/>
      </c:valAx>
    </c:plotArea>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Linfoma NH</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Tumori'!$K$451</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Tumori'!$J$452:$J$454</c:f>
              <c:strCache>
                <c:ptCount val="3"/>
                <c:pt idx="0">
                  <c:v>CREMA</c:v>
                </c:pt>
                <c:pt idx="1">
                  <c:v>CREMONA</c:v>
                </c:pt>
                <c:pt idx="2">
                  <c:v>MANTOVA</c:v>
                </c:pt>
              </c:strCache>
            </c:strRef>
          </c:cat>
          <c:val>
            <c:numRef>
              <c:f>'Incidenza Tumori'!$K$452:$K$454</c:f>
              <c:numCache>
                <c:formatCode>0.0</c:formatCode>
                <c:ptCount val="3"/>
                <c:pt idx="0">
                  <c:v>25.79</c:v>
                </c:pt>
                <c:pt idx="1">
                  <c:v>19.670000000000005</c:v>
                </c:pt>
                <c:pt idx="2">
                  <c:v>20.64</c:v>
                </c:pt>
              </c:numCache>
            </c:numRef>
          </c:val>
        </c:ser>
        <c:ser>
          <c:idx val="1"/>
          <c:order val="1"/>
          <c:tx>
            <c:strRef>
              <c:f>'Incidenza Tumori'!$L$451</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Tumori'!$J$452:$J$454</c:f>
              <c:strCache>
                <c:ptCount val="3"/>
                <c:pt idx="0">
                  <c:v>CREMA</c:v>
                </c:pt>
                <c:pt idx="1">
                  <c:v>CREMONA</c:v>
                </c:pt>
                <c:pt idx="2">
                  <c:v>MANTOVA</c:v>
                </c:pt>
              </c:strCache>
            </c:strRef>
          </c:cat>
          <c:val>
            <c:numRef>
              <c:f>'Incidenza Tumori'!$L$452:$L$454</c:f>
              <c:numCache>
                <c:formatCode>0.0</c:formatCode>
                <c:ptCount val="3"/>
                <c:pt idx="0">
                  <c:v>23.59</c:v>
                </c:pt>
                <c:pt idx="1">
                  <c:v>27.18</c:v>
                </c:pt>
                <c:pt idx="2">
                  <c:v>29.479999999999986</c:v>
                </c:pt>
              </c:numCache>
            </c:numRef>
          </c:val>
        </c:ser>
        <c:dLbls>
          <c:showLegendKey val="0"/>
          <c:showVal val="0"/>
          <c:showCatName val="0"/>
          <c:showSerName val="0"/>
          <c:showPercent val="0"/>
          <c:showBubbleSize val="0"/>
        </c:dLbls>
        <c:gapWidth val="150"/>
        <c:shape val="box"/>
        <c:axId val="242950912"/>
        <c:axId val="242952448"/>
        <c:axId val="0"/>
      </c:bar3DChart>
      <c:catAx>
        <c:axId val="242950912"/>
        <c:scaling>
          <c:orientation val="minMax"/>
        </c:scaling>
        <c:delete val="0"/>
        <c:axPos val="l"/>
        <c:numFmt formatCode="General" sourceLinked="0"/>
        <c:majorTickMark val="none"/>
        <c:minorTickMark val="none"/>
        <c:tickLblPos val="nextTo"/>
        <c:txPr>
          <a:bodyPr/>
          <a:lstStyle/>
          <a:p>
            <a:pPr>
              <a:defRPr sz="800" b="1"/>
            </a:pPr>
            <a:endParaRPr lang="it-IT"/>
          </a:p>
        </c:txPr>
        <c:crossAx val="242952448"/>
        <c:crosses val="autoZero"/>
        <c:auto val="1"/>
        <c:lblAlgn val="ctr"/>
        <c:lblOffset val="100"/>
        <c:noMultiLvlLbl val="0"/>
      </c:catAx>
      <c:valAx>
        <c:axId val="24295244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2950912"/>
        <c:crosses val="autoZero"/>
        <c:crossBetween val="between"/>
      </c:valAx>
    </c:plotArea>
    <c:plotVisOnly val="1"/>
    <c:dispBlanksAs val="gap"/>
    <c:showDLblsOverMax val="0"/>
  </c:chart>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Linfoma NH</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giusta'!$Q$30</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giusta'!$P$31:$P$33</c:f>
              <c:strCache>
                <c:ptCount val="3"/>
                <c:pt idx="0">
                  <c:v>CREMA</c:v>
                </c:pt>
                <c:pt idx="1">
                  <c:v>CREMONA</c:v>
                </c:pt>
                <c:pt idx="2">
                  <c:v>MANTOVA</c:v>
                </c:pt>
              </c:strCache>
            </c:strRef>
          </c:cat>
          <c:val>
            <c:numRef>
              <c:f>'mortalità giusta'!$Q$31:$Q$33</c:f>
              <c:numCache>
                <c:formatCode>0.0</c:formatCode>
                <c:ptCount val="3"/>
                <c:pt idx="0">
                  <c:v>8.16</c:v>
                </c:pt>
                <c:pt idx="1">
                  <c:v>5.74</c:v>
                </c:pt>
                <c:pt idx="2">
                  <c:v>7.17</c:v>
                </c:pt>
              </c:numCache>
            </c:numRef>
          </c:val>
        </c:ser>
        <c:ser>
          <c:idx val="1"/>
          <c:order val="1"/>
          <c:tx>
            <c:strRef>
              <c:f>'mortalità giusta'!$R$30</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giusta'!$P$31:$P$33</c:f>
              <c:strCache>
                <c:ptCount val="3"/>
                <c:pt idx="0">
                  <c:v>CREMA</c:v>
                </c:pt>
                <c:pt idx="1">
                  <c:v>CREMONA</c:v>
                </c:pt>
                <c:pt idx="2">
                  <c:v>MANTOVA</c:v>
                </c:pt>
              </c:strCache>
            </c:strRef>
          </c:cat>
          <c:val>
            <c:numRef>
              <c:f>'mortalità giusta'!$R$31:$R$33</c:f>
              <c:numCache>
                <c:formatCode>0.0</c:formatCode>
                <c:ptCount val="3"/>
                <c:pt idx="0">
                  <c:v>14.08</c:v>
                </c:pt>
                <c:pt idx="1">
                  <c:v>12.76</c:v>
                </c:pt>
                <c:pt idx="2">
                  <c:v>11.96</c:v>
                </c:pt>
              </c:numCache>
            </c:numRef>
          </c:val>
        </c:ser>
        <c:dLbls>
          <c:showLegendKey val="0"/>
          <c:showVal val="0"/>
          <c:showCatName val="0"/>
          <c:showSerName val="0"/>
          <c:showPercent val="0"/>
          <c:showBubbleSize val="0"/>
        </c:dLbls>
        <c:gapWidth val="150"/>
        <c:shape val="box"/>
        <c:axId val="243372032"/>
        <c:axId val="243373568"/>
        <c:axId val="0"/>
      </c:bar3DChart>
      <c:catAx>
        <c:axId val="243372032"/>
        <c:scaling>
          <c:orientation val="minMax"/>
        </c:scaling>
        <c:delete val="0"/>
        <c:axPos val="l"/>
        <c:numFmt formatCode="General" sourceLinked="0"/>
        <c:majorTickMark val="none"/>
        <c:minorTickMark val="none"/>
        <c:tickLblPos val="nextTo"/>
        <c:txPr>
          <a:bodyPr/>
          <a:lstStyle/>
          <a:p>
            <a:pPr>
              <a:defRPr sz="800" b="1"/>
            </a:pPr>
            <a:endParaRPr lang="it-IT"/>
          </a:p>
        </c:txPr>
        <c:crossAx val="243373568"/>
        <c:crosses val="autoZero"/>
        <c:auto val="1"/>
        <c:lblAlgn val="ctr"/>
        <c:lblOffset val="100"/>
        <c:noMultiLvlLbl val="0"/>
      </c:catAx>
      <c:valAx>
        <c:axId val="24337356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3372032"/>
        <c:crosses val="autoZero"/>
        <c:crossBetween val="between"/>
      </c:valAx>
    </c:plotArea>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 Linfoma H</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Tumori'!$K$445</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Tumori'!$J$446:$J$448</c:f>
              <c:strCache>
                <c:ptCount val="3"/>
                <c:pt idx="0">
                  <c:v>CREMA</c:v>
                </c:pt>
                <c:pt idx="1">
                  <c:v>CREMONA</c:v>
                </c:pt>
                <c:pt idx="2">
                  <c:v>MANTOVA</c:v>
                </c:pt>
              </c:strCache>
            </c:strRef>
          </c:cat>
          <c:val>
            <c:numRef>
              <c:f>'Incidenza Tumori'!$K$446:$K$448</c:f>
              <c:numCache>
                <c:formatCode>0.0</c:formatCode>
                <c:ptCount val="3"/>
                <c:pt idx="0">
                  <c:v>3.24</c:v>
                </c:pt>
                <c:pt idx="1">
                  <c:v>3.55</c:v>
                </c:pt>
                <c:pt idx="2">
                  <c:v>4.2300000000000004</c:v>
                </c:pt>
              </c:numCache>
            </c:numRef>
          </c:val>
        </c:ser>
        <c:ser>
          <c:idx val="1"/>
          <c:order val="1"/>
          <c:tx>
            <c:strRef>
              <c:f>'Incidenza Tumori'!$L$445</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'Incidenza Tumori'!$J$446:$J$448</c:f>
              <c:strCache>
                <c:ptCount val="3"/>
                <c:pt idx="0">
                  <c:v>CREMA</c:v>
                </c:pt>
                <c:pt idx="1">
                  <c:v>CREMONA</c:v>
                </c:pt>
                <c:pt idx="2">
                  <c:v>MANTOVA</c:v>
                </c:pt>
              </c:strCache>
            </c:strRef>
          </c:cat>
          <c:val>
            <c:numRef>
              <c:f>'Incidenza Tumori'!$L$446:$L$448</c:f>
              <c:numCache>
                <c:formatCode>0.0</c:formatCode>
                <c:ptCount val="3"/>
                <c:pt idx="0">
                  <c:v>3.16</c:v>
                </c:pt>
                <c:pt idx="1">
                  <c:v>4.6899999999999995</c:v>
                </c:pt>
                <c:pt idx="2">
                  <c:v>4.03</c:v>
                </c:pt>
              </c:numCache>
            </c:numRef>
          </c:val>
        </c:ser>
        <c:dLbls>
          <c:showLegendKey val="0"/>
          <c:showVal val="0"/>
          <c:showCatName val="0"/>
          <c:showSerName val="0"/>
          <c:showPercent val="0"/>
          <c:showBubbleSize val="0"/>
        </c:dLbls>
        <c:gapWidth val="150"/>
        <c:shape val="box"/>
        <c:axId val="244952064"/>
        <c:axId val="244966144"/>
        <c:axId val="0"/>
      </c:bar3DChart>
      <c:catAx>
        <c:axId val="244952064"/>
        <c:scaling>
          <c:orientation val="minMax"/>
        </c:scaling>
        <c:delete val="0"/>
        <c:axPos val="l"/>
        <c:numFmt formatCode="General" sourceLinked="0"/>
        <c:majorTickMark val="none"/>
        <c:minorTickMark val="none"/>
        <c:tickLblPos val="nextTo"/>
        <c:txPr>
          <a:bodyPr/>
          <a:lstStyle/>
          <a:p>
            <a:pPr>
              <a:defRPr sz="800" b="1"/>
            </a:pPr>
            <a:endParaRPr lang="it-IT"/>
          </a:p>
        </c:txPr>
        <c:crossAx val="244966144"/>
        <c:crosses val="autoZero"/>
        <c:auto val="1"/>
        <c:lblAlgn val="ctr"/>
        <c:lblOffset val="100"/>
        <c:noMultiLvlLbl val="0"/>
      </c:catAx>
      <c:valAx>
        <c:axId val="24496614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4952064"/>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Crema</a:t>
            </a:r>
          </a:p>
        </c:rich>
      </c:tx>
      <c:layout>
        <c:manualLayout>
          <c:xMode val="edge"/>
          <c:yMode val="edge"/>
          <c:x val="0.42411811023622081"/>
          <c:y val="1.9207685494063556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PIRAMIDI!$C$26</c:f>
              <c:strCache>
                <c:ptCount val="1"/>
                <c:pt idx="0">
                  <c:v>F</c:v>
                </c:pt>
              </c:strCache>
            </c:strRef>
          </c:tx>
          <c:spPr>
            <a:solidFill>
              <a:srgbClr val="FF66FF"/>
            </a:solidFill>
          </c:spPr>
          <c:invertIfNegative val="0"/>
          <c:cat>
            <c:strRef>
              <c:f>PIRAMIDI!$B$27:$B$46</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PIRAMIDI!$C$27:$C$46</c:f>
              <c:numCache>
                <c:formatCode>0;[Red]0</c:formatCode>
                <c:ptCount val="20"/>
                <c:pt idx="0">
                  <c:v>-3278</c:v>
                </c:pt>
                <c:pt idx="1">
                  <c:v>-3781</c:v>
                </c:pt>
                <c:pt idx="2">
                  <c:v>-3692</c:v>
                </c:pt>
                <c:pt idx="3">
                  <c:v>-3754</c:v>
                </c:pt>
                <c:pt idx="4">
                  <c:v>-3744</c:v>
                </c:pt>
                <c:pt idx="5">
                  <c:v>-4130</c:v>
                </c:pt>
                <c:pt idx="6">
                  <c:v>-4749</c:v>
                </c:pt>
                <c:pt idx="7">
                  <c:v>-5792</c:v>
                </c:pt>
                <c:pt idx="8">
                  <c:v>-6496</c:v>
                </c:pt>
                <c:pt idx="9">
                  <c:v>-6665</c:v>
                </c:pt>
                <c:pt idx="10">
                  <c:v>-6301</c:v>
                </c:pt>
                <c:pt idx="11">
                  <c:v>-5654</c:v>
                </c:pt>
                <c:pt idx="12">
                  <c:v>-5305</c:v>
                </c:pt>
                <c:pt idx="13">
                  <c:v>-5244</c:v>
                </c:pt>
                <c:pt idx="14">
                  <c:v>-3886</c:v>
                </c:pt>
                <c:pt idx="15">
                  <c:v>-4066</c:v>
                </c:pt>
                <c:pt idx="16">
                  <c:v>-3101</c:v>
                </c:pt>
                <c:pt idx="17">
                  <c:v>-2077</c:v>
                </c:pt>
                <c:pt idx="18">
                  <c:v>-1012</c:v>
                </c:pt>
                <c:pt idx="19">
                  <c:v>-236</c:v>
                </c:pt>
              </c:numCache>
            </c:numRef>
          </c:val>
        </c:ser>
        <c:ser>
          <c:idx val="1"/>
          <c:order val="1"/>
          <c:tx>
            <c:strRef>
              <c:f>PIRAMIDI!$D$26</c:f>
              <c:strCache>
                <c:ptCount val="1"/>
                <c:pt idx="0">
                  <c:v>M</c:v>
                </c:pt>
              </c:strCache>
            </c:strRef>
          </c:tx>
          <c:spPr>
            <a:solidFill>
              <a:srgbClr val="00B0F0"/>
            </a:solidFill>
          </c:spPr>
          <c:invertIfNegative val="0"/>
          <c:cat>
            <c:strRef>
              <c:f>PIRAMIDI!$B$27:$B$46</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PIRAMIDI!$D$27:$D$46</c:f>
              <c:numCache>
                <c:formatCode>General</c:formatCode>
                <c:ptCount val="20"/>
                <c:pt idx="0">
                  <c:v>3624</c:v>
                </c:pt>
                <c:pt idx="1">
                  <c:v>4194</c:v>
                </c:pt>
                <c:pt idx="2">
                  <c:v>3906</c:v>
                </c:pt>
                <c:pt idx="3">
                  <c:v>3804</c:v>
                </c:pt>
                <c:pt idx="4">
                  <c:v>3901</c:v>
                </c:pt>
                <c:pt idx="5">
                  <c:v>4147</c:v>
                </c:pt>
                <c:pt idx="6">
                  <c:v>4910</c:v>
                </c:pt>
                <c:pt idx="7">
                  <c:v>5749</c:v>
                </c:pt>
                <c:pt idx="8">
                  <c:v>7038</c:v>
                </c:pt>
                <c:pt idx="9">
                  <c:v>6981</c:v>
                </c:pt>
                <c:pt idx="10">
                  <c:v>6515</c:v>
                </c:pt>
                <c:pt idx="11">
                  <c:v>5516</c:v>
                </c:pt>
                <c:pt idx="12">
                  <c:v>5127</c:v>
                </c:pt>
                <c:pt idx="13">
                  <c:v>5226</c:v>
                </c:pt>
                <c:pt idx="14">
                  <c:v>3750</c:v>
                </c:pt>
                <c:pt idx="15">
                  <c:v>3435</c:v>
                </c:pt>
                <c:pt idx="16">
                  <c:v>1941</c:v>
                </c:pt>
                <c:pt idx="17">
                  <c:v>973</c:v>
                </c:pt>
                <c:pt idx="18">
                  <c:v>302</c:v>
                </c:pt>
                <c:pt idx="19">
                  <c:v>51</c:v>
                </c:pt>
              </c:numCache>
            </c:numRef>
          </c:val>
        </c:ser>
        <c:dLbls>
          <c:showLegendKey val="0"/>
          <c:showVal val="0"/>
          <c:showCatName val="0"/>
          <c:showSerName val="0"/>
          <c:showPercent val="0"/>
          <c:showBubbleSize val="0"/>
        </c:dLbls>
        <c:gapWidth val="0"/>
        <c:gapDepth val="0"/>
        <c:shape val="box"/>
        <c:axId val="218228608"/>
        <c:axId val="218230144"/>
        <c:axId val="0"/>
      </c:bar3DChart>
      <c:catAx>
        <c:axId val="218228608"/>
        <c:scaling>
          <c:orientation val="minMax"/>
        </c:scaling>
        <c:delete val="1"/>
        <c:axPos val="l"/>
        <c:majorTickMark val="none"/>
        <c:minorTickMark val="none"/>
        <c:tickLblPos val="none"/>
        <c:crossAx val="218230144"/>
        <c:crosses val="autoZero"/>
        <c:auto val="1"/>
        <c:lblAlgn val="ctr"/>
        <c:lblOffset val="100"/>
        <c:noMultiLvlLbl val="0"/>
      </c:catAx>
      <c:valAx>
        <c:axId val="218230144"/>
        <c:scaling>
          <c:orientation val="minMax"/>
        </c:scaling>
        <c:delete val="0"/>
        <c:axPos val="b"/>
        <c:majorGridlines/>
        <c:numFmt formatCode="0;[Red]0" sourceLinked="1"/>
        <c:majorTickMark val="none"/>
        <c:minorTickMark val="none"/>
        <c:tickLblPos val="nextTo"/>
        <c:txPr>
          <a:bodyPr/>
          <a:lstStyle/>
          <a:p>
            <a:pPr>
              <a:defRPr sz="800"/>
            </a:pPr>
            <a:endParaRPr lang="it-IT"/>
          </a:p>
        </c:txPr>
        <c:crossAx val="218228608"/>
        <c:crosses val="autoZero"/>
        <c:crossBetween val="between"/>
        <c:majorUnit val="5000"/>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 Linfoma H</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'mortalità giusta'!$Q$21</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giusta'!$P$22:$P$24</c:f>
              <c:strCache>
                <c:ptCount val="3"/>
                <c:pt idx="0">
                  <c:v>CREMA</c:v>
                </c:pt>
                <c:pt idx="1">
                  <c:v>CREMONA</c:v>
                </c:pt>
                <c:pt idx="2">
                  <c:v>MANTOVA</c:v>
                </c:pt>
              </c:strCache>
            </c:strRef>
          </c:cat>
          <c:val>
            <c:numRef>
              <c:f>'mortalità giusta'!$Q$22:$Q$24</c:f>
              <c:numCache>
                <c:formatCode>0.0</c:formatCode>
                <c:ptCount val="3"/>
                <c:pt idx="0">
                  <c:v>0.630000000000001</c:v>
                </c:pt>
                <c:pt idx="1">
                  <c:v>0.19</c:v>
                </c:pt>
                <c:pt idx="2">
                  <c:v>0.65000000000000113</c:v>
                </c:pt>
              </c:numCache>
            </c:numRef>
          </c:val>
        </c:ser>
        <c:ser>
          <c:idx val="1"/>
          <c:order val="1"/>
          <c:tx>
            <c:strRef>
              <c:f>'mortalità giusta'!$R$21</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'mortalità giusta'!$P$22:$P$24</c:f>
              <c:strCache>
                <c:ptCount val="3"/>
                <c:pt idx="0">
                  <c:v>CREMA</c:v>
                </c:pt>
                <c:pt idx="1">
                  <c:v>CREMONA</c:v>
                </c:pt>
                <c:pt idx="2">
                  <c:v>MANTOVA</c:v>
                </c:pt>
              </c:strCache>
            </c:strRef>
          </c:cat>
          <c:val>
            <c:numRef>
              <c:f>'mortalità giusta'!$R$22:$R$24</c:f>
              <c:numCache>
                <c:formatCode>0.0</c:formatCode>
                <c:ptCount val="3"/>
                <c:pt idx="0">
                  <c:v>0.15000000000000022</c:v>
                </c:pt>
                <c:pt idx="1">
                  <c:v>0.77000000000000102</c:v>
                </c:pt>
                <c:pt idx="2">
                  <c:v>1.08</c:v>
                </c:pt>
              </c:numCache>
            </c:numRef>
          </c:val>
        </c:ser>
        <c:dLbls>
          <c:showLegendKey val="0"/>
          <c:showVal val="0"/>
          <c:showCatName val="0"/>
          <c:showSerName val="0"/>
          <c:showPercent val="0"/>
          <c:showBubbleSize val="0"/>
        </c:dLbls>
        <c:gapWidth val="150"/>
        <c:shape val="box"/>
        <c:axId val="245401856"/>
        <c:axId val="245415936"/>
        <c:axId val="0"/>
      </c:bar3DChart>
      <c:catAx>
        <c:axId val="245401856"/>
        <c:scaling>
          <c:orientation val="minMax"/>
        </c:scaling>
        <c:delete val="0"/>
        <c:axPos val="l"/>
        <c:numFmt formatCode="General" sourceLinked="0"/>
        <c:majorTickMark val="none"/>
        <c:minorTickMark val="none"/>
        <c:tickLblPos val="nextTo"/>
        <c:txPr>
          <a:bodyPr/>
          <a:lstStyle/>
          <a:p>
            <a:pPr>
              <a:defRPr sz="800" b="1"/>
            </a:pPr>
            <a:endParaRPr lang="it-IT"/>
          </a:p>
        </c:txPr>
        <c:crossAx val="245415936"/>
        <c:crosses val="autoZero"/>
        <c:auto val="1"/>
        <c:lblAlgn val="ctr"/>
        <c:lblOffset val="100"/>
        <c:noMultiLvlLbl val="0"/>
      </c:catAx>
      <c:valAx>
        <c:axId val="24541593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5401856"/>
        <c:crosses val="autoZero"/>
        <c:crossBetween val="between"/>
      </c:valAx>
    </c:plotArea>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H-Cardiovascolare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OSPEDALIZZAZIONE'!$Q$26</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14,2*</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OSPEDALIZZAZIONE'!$P$27:$P$29</c:f>
              <c:strCache>
                <c:ptCount val="3"/>
                <c:pt idx="0">
                  <c:v>CREMA</c:v>
                </c:pt>
                <c:pt idx="1">
                  <c:v>CREMONA</c:v>
                </c:pt>
                <c:pt idx="2">
                  <c:v>MANTOVA</c:v>
                </c:pt>
              </c:strCache>
            </c:strRef>
          </c:cat>
          <c:val>
            <c:numRef>
              <c:f>'GRAFICI OSPEDALIZZAZIONE'!$Q$27:$Q$29</c:f>
              <c:numCache>
                <c:formatCode>0.0</c:formatCode>
                <c:ptCount val="3"/>
                <c:pt idx="0">
                  <c:v>14.21</c:v>
                </c:pt>
                <c:pt idx="1">
                  <c:v>13.06</c:v>
                </c:pt>
                <c:pt idx="2">
                  <c:v>12.23</c:v>
                </c:pt>
              </c:numCache>
            </c:numRef>
          </c:val>
        </c:ser>
        <c:ser>
          <c:idx val="1"/>
          <c:order val="1"/>
          <c:tx>
            <c:strRef>
              <c:f>'GRAFICI OSPEDALIZZAZIONE'!$R$26</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28,3*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OSPEDALIZZAZIONE'!$P$27:$P$29</c:f>
              <c:strCache>
                <c:ptCount val="3"/>
                <c:pt idx="0">
                  <c:v>CREMA</c:v>
                </c:pt>
                <c:pt idx="1">
                  <c:v>CREMONA</c:v>
                </c:pt>
                <c:pt idx="2">
                  <c:v>MANTOVA</c:v>
                </c:pt>
              </c:strCache>
            </c:strRef>
          </c:cat>
          <c:val>
            <c:numRef>
              <c:f>'GRAFICI OSPEDALIZZAZIONE'!$R$27:$R$29</c:f>
              <c:numCache>
                <c:formatCode>0.0</c:formatCode>
                <c:ptCount val="3"/>
                <c:pt idx="0">
                  <c:v>28.34</c:v>
                </c:pt>
                <c:pt idx="1">
                  <c:v>25.73</c:v>
                </c:pt>
                <c:pt idx="2">
                  <c:v>23.95</c:v>
                </c:pt>
              </c:numCache>
            </c:numRef>
          </c:val>
        </c:ser>
        <c:dLbls>
          <c:showLegendKey val="0"/>
          <c:showVal val="0"/>
          <c:showCatName val="0"/>
          <c:showSerName val="0"/>
          <c:showPercent val="0"/>
          <c:showBubbleSize val="0"/>
        </c:dLbls>
        <c:gapWidth val="150"/>
        <c:shape val="box"/>
        <c:axId val="245934336"/>
        <c:axId val="246091776"/>
        <c:axId val="0"/>
      </c:bar3DChart>
      <c:catAx>
        <c:axId val="245934336"/>
        <c:scaling>
          <c:orientation val="minMax"/>
        </c:scaling>
        <c:delete val="0"/>
        <c:axPos val="l"/>
        <c:majorTickMark val="none"/>
        <c:minorTickMark val="none"/>
        <c:tickLblPos val="nextTo"/>
        <c:txPr>
          <a:bodyPr/>
          <a:lstStyle/>
          <a:p>
            <a:pPr>
              <a:defRPr sz="800" b="1"/>
            </a:pPr>
            <a:endParaRPr lang="it-IT"/>
          </a:p>
        </c:txPr>
        <c:crossAx val="246091776"/>
        <c:crosses val="autoZero"/>
        <c:auto val="1"/>
        <c:lblAlgn val="ctr"/>
        <c:lblOffset val="100"/>
        <c:noMultiLvlLbl val="0"/>
      </c:catAx>
      <c:valAx>
        <c:axId val="24609177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5934336"/>
        <c:crosses val="autoZero"/>
        <c:crossBetween val="between"/>
      </c:valAx>
    </c:plotArea>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M-Cardiovascolare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x100000'!$Q$1</c:f>
              <c:strCache>
                <c:ptCount val="1"/>
                <c:pt idx="0">
                  <c:v>F</c:v>
                </c:pt>
              </c:strCache>
            </c:strRef>
          </c:tx>
          <c:spPr>
            <a:solidFill>
              <a:srgbClr val="FF66CC"/>
            </a:solidFill>
          </c:spPr>
          <c:invertIfNegative val="0"/>
          <c:dLbls>
            <c:txPr>
              <a:bodyPr/>
              <a:lstStyle/>
              <a:p>
                <a:pPr>
                  <a:defRPr b="1"/>
                </a:pPr>
                <a:endParaRPr lang="it-IT"/>
              </a:p>
            </c:txPr>
            <c:showLegendKey val="0"/>
            <c:showVal val="1"/>
            <c:showCatName val="0"/>
            <c:showSerName val="0"/>
            <c:showPercent val="0"/>
            <c:showBubbleSize val="0"/>
            <c:showLeaderLines val="0"/>
          </c:dLbls>
          <c:cat>
            <c:strRef>
              <c:f>'mortalita 2007-2015 x100000'!$P$2:$P$4</c:f>
              <c:strCache>
                <c:ptCount val="3"/>
                <c:pt idx="0">
                  <c:v>CREMA</c:v>
                </c:pt>
                <c:pt idx="1">
                  <c:v>CREMONA</c:v>
                </c:pt>
                <c:pt idx="2">
                  <c:v>MANTOVA</c:v>
                </c:pt>
              </c:strCache>
            </c:strRef>
          </c:cat>
          <c:val>
            <c:numRef>
              <c:f>'mortalita 2007-2015 x100000'!$Q$2:$Q$4</c:f>
              <c:numCache>
                <c:formatCode>0.0</c:formatCode>
                <c:ptCount val="3"/>
                <c:pt idx="0">
                  <c:v>343.88</c:v>
                </c:pt>
                <c:pt idx="1">
                  <c:v>323.83999999999969</c:v>
                </c:pt>
                <c:pt idx="2">
                  <c:v>338.1</c:v>
                </c:pt>
              </c:numCache>
            </c:numRef>
          </c:val>
        </c:ser>
        <c:ser>
          <c:idx val="1"/>
          <c:order val="1"/>
          <c:tx>
            <c:strRef>
              <c:f>'mortalita 2007-2015 x100000'!$R$1</c:f>
              <c:strCache>
                <c:ptCount val="1"/>
                <c:pt idx="0">
                  <c:v>M</c:v>
                </c:pt>
              </c:strCache>
            </c:strRef>
          </c:tx>
          <c:spPr>
            <a:solidFill>
              <a:srgbClr val="0066FF"/>
            </a:solidFill>
          </c:spPr>
          <c:invertIfNegative val="0"/>
          <c:dLbls>
            <c:txPr>
              <a:bodyPr/>
              <a:lstStyle/>
              <a:p>
                <a:pPr>
                  <a:defRPr b="1"/>
                </a:pPr>
                <a:endParaRPr lang="it-IT"/>
              </a:p>
            </c:txPr>
            <c:showLegendKey val="0"/>
            <c:showVal val="1"/>
            <c:showCatName val="0"/>
            <c:showSerName val="0"/>
            <c:showPercent val="0"/>
            <c:showBubbleSize val="0"/>
            <c:showLeaderLines val="0"/>
          </c:dLbls>
          <c:cat>
            <c:strRef>
              <c:f>'mortalita 2007-2015 x100000'!$P$2:$P$4</c:f>
              <c:strCache>
                <c:ptCount val="3"/>
                <c:pt idx="0">
                  <c:v>CREMA</c:v>
                </c:pt>
                <c:pt idx="1">
                  <c:v>CREMONA</c:v>
                </c:pt>
                <c:pt idx="2">
                  <c:v>MANTOVA</c:v>
                </c:pt>
              </c:strCache>
            </c:strRef>
          </c:cat>
          <c:val>
            <c:numRef>
              <c:f>'mortalita 2007-2015 x100000'!$R$2:$R$4</c:f>
              <c:numCache>
                <c:formatCode>0.0</c:formatCode>
                <c:ptCount val="3"/>
                <c:pt idx="0">
                  <c:v>445.22999999999956</c:v>
                </c:pt>
                <c:pt idx="1">
                  <c:v>447.8</c:v>
                </c:pt>
                <c:pt idx="2">
                  <c:v>470.75</c:v>
                </c:pt>
              </c:numCache>
            </c:numRef>
          </c:val>
        </c:ser>
        <c:dLbls>
          <c:showLegendKey val="0"/>
          <c:showVal val="0"/>
          <c:showCatName val="0"/>
          <c:showSerName val="0"/>
          <c:showPercent val="0"/>
          <c:showBubbleSize val="0"/>
        </c:dLbls>
        <c:gapWidth val="150"/>
        <c:shape val="box"/>
        <c:axId val="246371840"/>
        <c:axId val="246373376"/>
        <c:axId val="0"/>
      </c:bar3DChart>
      <c:catAx>
        <c:axId val="246371840"/>
        <c:scaling>
          <c:orientation val="minMax"/>
        </c:scaling>
        <c:delete val="0"/>
        <c:axPos val="l"/>
        <c:majorTickMark val="none"/>
        <c:minorTickMark val="none"/>
        <c:tickLblPos val="nextTo"/>
        <c:txPr>
          <a:bodyPr/>
          <a:lstStyle/>
          <a:p>
            <a:pPr>
              <a:defRPr b="1"/>
            </a:pPr>
            <a:endParaRPr lang="it-IT"/>
          </a:p>
        </c:txPr>
        <c:crossAx val="246373376"/>
        <c:crosses val="autoZero"/>
        <c:auto val="1"/>
        <c:lblAlgn val="ctr"/>
        <c:lblOffset val="100"/>
        <c:noMultiLvlLbl val="0"/>
      </c:catAx>
      <c:valAx>
        <c:axId val="246373376"/>
        <c:scaling>
          <c:orientation val="minMax"/>
        </c:scaling>
        <c:delete val="0"/>
        <c:axPos val="b"/>
        <c:majorGridlines/>
        <c:numFmt formatCode="0.0" sourceLinked="1"/>
        <c:majorTickMark val="none"/>
        <c:minorTickMark val="none"/>
        <c:tickLblPos val="nextTo"/>
        <c:txPr>
          <a:bodyPr/>
          <a:lstStyle/>
          <a:p>
            <a:pPr>
              <a:defRPr b="1"/>
            </a:pPr>
            <a:endParaRPr lang="it-IT"/>
          </a:p>
        </c:txPr>
        <c:crossAx val="246371840"/>
        <c:crosses val="autoZero"/>
        <c:crossBetween val="between"/>
      </c:valAx>
    </c:plotArea>
    <c:plotVisOnly val="1"/>
    <c:dispBlanksAs val="gap"/>
    <c:showDLblsOverMax val="0"/>
  </c:chart>
  <c:txPr>
    <a:bodyPr/>
    <a:lstStyle/>
    <a:p>
      <a:pPr>
        <a:defRPr sz="800"/>
      </a:pPr>
      <a:endParaRPr lang="it-IT"/>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P-Cardiovascolare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grafici_BDA!$L$42</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234,3*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grafici_BDA!$K$43:$K$45</c:f>
              <c:strCache>
                <c:ptCount val="3"/>
                <c:pt idx="0">
                  <c:v>CREMA</c:v>
                </c:pt>
                <c:pt idx="1">
                  <c:v>CREMONA</c:v>
                </c:pt>
                <c:pt idx="2">
                  <c:v>MANTOVA</c:v>
                </c:pt>
              </c:strCache>
            </c:strRef>
          </c:cat>
          <c:val>
            <c:numRef>
              <c:f>grafici_BDA!$L$43:$L$45</c:f>
              <c:numCache>
                <c:formatCode>0.0</c:formatCode>
                <c:ptCount val="3"/>
                <c:pt idx="0">
                  <c:v>183.7</c:v>
                </c:pt>
                <c:pt idx="1">
                  <c:v>168.86</c:v>
                </c:pt>
                <c:pt idx="2">
                  <c:v>234.34</c:v>
                </c:pt>
              </c:numCache>
            </c:numRef>
          </c:val>
        </c:ser>
        <c:ser>
          <c:idx val="1"/>
          <c:order val="1"/>
          <c:tx>
            <c:strRef>
              <c:f>grafici_BDA!$M$42</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258,3*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grafici_BDA!$K$43:$K$45</c:f>
              <c:strCache>
                <c:ptCount val="3"/>
                <c:pt idx="0">
                  <c:v>CREMA</c:v>
                </c:pt>
                <c:pt idx="1">
                  <c:v>CREMONA</c:v>
                </c:pt>
                <c:pt idx="2">
                  <c:v>MANTOVA</c:v>
                </c:pt>
              </c:strCache>
            </c:strRef>
          </c:cat>
          <c:val>
            <c:numRef>
              <c:f>grafici_BDA!$M$43:$M$45</c:f>
              <c:numCache>
                <c:formatCode>0.0</c:formatCode>
                <c:ptCount val="3"/>
                <c:pt idx="0">
                  <c:v>205.26</c:v>
                </c:pt>
                <c:pt idx="1">
                  <c:v>196.60999999999999</c:v>
                </c:pt>
                <c:pt idx="2">
                  <c:v>258.27</c:v>
                </c:pt>
              </c:numCache>
            </c:numRef>
          </c:val>
        </c:ser>
        <c:dLbls>
          <c:showLegendKey val="0"/>
          <c:showVal val="0"/>
          <c:showCatName val="0"/>
          <c:showSerName val="0"/>
          <c:showPercent val="0"/>
          <c:showBubbleSize val="0"/>
        </c:dLbls>
        <c:gapWidth val="150"/>
        <c:shape val="box"/>
        <c:axId val="246687232"/>
        <c:axId val="246688768"/>
        <c:axId val="0"/>
      </c:bar3DChart>
      <c:catAx>
        <c:axId val="246687232"/>
        <c:scaling>
          <c:orientation val="minMax"/>
        </c:scaling>
        <c:delete val="0"/>
        <c:axPos val="l"/>
        <c:majorTickMark val="none"/>
        <c:minorTickMark val="none"/>
        <c:tickLblPos val="nextTo"/>
        <c:txPr>
          <a:bodyPr/>
          <a:lstStyle/>
          <a:p>
            <a:pPr>
              <a:defRPr sz="800" b="1"/>
            </a:pPr>
            <a:endParaRPr lang="it-IT"/>
          </a:p>
        </c:txPr>
        <c:crossAx val="246688768"/>
        <c:crosses val="autoZero"/>
        <c:auto val="1"/>
        <c:lblAlgn val="ctr"/>
        <c:lblOffset val="100"/>
        <c:noMultiLvlLbl val="0"/>
      </c:catAx>
      <c:valAx>
        <c:axId val="246688768"/>
        <c:scaling>
          <c:orientation val="minMax"/>
          <c:max val="280"/>
        </c:scaling>
        <c:delete val="0"/>
        <c:axPos val="b"/>
        <c:majorGridlines/>
        <c:numFmt formatCode="0.0" sourceLinked="1"/>
        <c:majorTickMark val="none"/>
        <c:minorTickMark val="none"/>
        <c:tickLblPos val="nextTo"/>
        <c:txPr>
          <a:bodyPr/>
          <a:lstStyle/>
          <a:p>
            <a:pPr>
              <a:defRPr sz="800" b="1"/>
            </a:pPr>
            <a:endParaRPr lang="it-IT"/>
          </a:p>
        </c:txPr>
        <c:crossAx val="246687232"/>
        <c:crosses val="autoZero"/>
        <c:crossBetween val="between"/>
        <c:majorUnit val="70"/>
      </c:valAx>
    </c:plotArea>
    <c:plotVisOnly val="1"/>
    <c:dispBlanksAs val="gap"/>
    <c:showDLblsOverMax val="0"/>
  </c:chart>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H-Infarto del miocardio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OSPEDALIZZAZIONE'!$Q$19</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2,0*</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OSPEDALIZZAZIONE'!$P$20:$P$22</c:f>
              <c:strCache>
                <c:ptCount val="3"/>
                <c:pt idx="0">
                  <c:v>CREMA</c:v>
                </c:pt>
                <c:pt idx="1">
                  <c:v>CREMONA</c:v>
                </c:pt>
                <c:pt idx="2">
                  <c:v>MANTOVA</c:v>
                </c:pt>
              </c:strCache>
            </c:strRef>
          </c:cat>
          <c:val>
            <c:numRef>
              <c:f>'GRAFICI OSPEDALIZZAZIONE'!$Q$20:$Q$22</c:f>
              <c:numCache>
                <c:formatCode>0.0</c:formatCode>
                <c:ptCount val="3"/>
                <c:pt idx="0">
                  <c:v>1.72</c:v>
                </c:pt>
                <c:pt idx="1">
                  <c:v>1.9700000000000017</c:v>
                </c:pt>
                <c:pt idx="2">
                  <c:v>1.78</c:v>
                </c:pt>
              </c:numCache>
            </c:numRef>
          </c:val>
        </c:ser>
        <c:ser>
          <c:idx val="1"/>
          <c:order val="1"/>
          <c:tx>
            <c:strRef>
              <c:f>'GRAFICI OSPEDALIZZAZIONE'!$R$19</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'GRAFICI OSPEDALIZZAZIONE'!$P$20:$P$22</c:f>
              <c:strCache>
                <c:ptCount val="3"/>
                <c:pt idx="0">
                  <c:v>CREMA</c:v>
                </c:pt>
                <c:pt idx="1">
                  <c:v>CREMONA</c:v>
                </c:pt>
                <c:pt idx="2">
                  <c:v>MANTOVA</c:v>
                </c:pt>
              </c:strCache>
            </c:strRef>
          </c:cat>
          <c:val>
            <c:numRef>
              <c:f>'GRAFICI OSPEDALIZZAZIONE'!$R$20:$R$22</c:f>
              <c:numCache>
                <c:formatCode>0.0</c:formatCode>
                <c:ptCount val="3"/>
                <c:pt idx="0">
                  <c:v>4.17</c:v>
                </c:pt>
                <c:pt idx="1">
                  <c:v>4.3099999999999996</c:v>
                </c:pt>
                <c:pt idx="2">
                  <c:v>4.05</c:v>
                </c:pt>
              </c:numCache>
            </c:numRef>
          </c:val>
        </c:ser>
        <c:dLbls>
          <c:showLegendKey val="0"/>
          <c:showVal val="0"/>
          <c:showCatName val="0"/>
          <c:showSerName val="0"/>
          <c:showPercent val="0"/>
          <c:showBubbleSize val="0"/>
        </c:dLbls>
        <c:gapWidth val="150"/>
        <c:shape val="box"/>
        <c:axId val="246502528"/>
        <c:axId val="246504064"/>
        <c:axId val="0"/>
      </c:bar3DChart>
      <c:catAx>
        <c:axId val="246502528"/>
        <c:scaling>
          <c:orientation val="minMax"/>
        </c:scaling>
        <c:delete val="0"/>
        <c:axPos val="l"/>
        <c:majorTickMark val="none"/>
        <c:minorTickMark val="none"/>
        <c:tickLblPos val="nextTo"/>
        <c:txPr>
          <a:bodyPr/>
          <a:lstStyle/>
          <a:p>
            <a:pPr>
              <a:defRPr sz="800" b="1"/>
            </a:pPr>
            <a:endParaRPr lang="it-IT"/>
          </a:p>
        </c:txPr>
        <c:crossAx val="246504064"/>
        <c:crosses val="autoZero"/>
        <c:auto val="1"/>
        <c:lblAlgn val="ctr"/>
        <c:lblOffset val="100"/>
        <c:noMultiLvlLbl val="0"/>
      </c:catAx>
      <c:valAx>
        <c:axId val="24650406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6502528"/>
        <c:crosses val="autoZero"/>
        <c:crossBetween val="between"/>
      </c:valAx>
    </c:plotArea>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M-Infarto del miocardio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x100000'!$Q$15</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51,7*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x100000'!$P$16:$P$18</c:f>
              <c:strCache>
                <c:ptCount val="3"/>
                <c:pt idx="0">
                  <c:v>CREMA</c:v>
                </c:pt>
                <c:pt idx="1">
                  <c:v>CREMONA</c:v>
                </c:pt>
                <c:pt idx="2">
                  <c:v>MANTOVA</c:v>
                </c:pt>
              </c:strCache>
            </c:strRef>
          </c:cat>
          <c:val>
            <c:numRef>
              <c:f>'mortalita 2007-2015 x100000'!$Q$16:$Q$18</c:f>
              <c:numCache>
                <c:formatCode>0.0</c:formatCode>
                <c:ptCount val="3"/>
                <c:pt idx="0">
                  <c:v>51.660000000000011</c:v>
                </c:pt>
                <c:pt idx="1">
                  <c:v>37.39</c:v>
                </c:pt>
                <c:pt idx="2">
                  <c:v>46.46</c:v>
                </c:pt>
              </c:numCache>
            </c:numRef>
          </c:val>
        </c:ser>
        <c:ser>
          <c:idx val="1"/>
          <c:order val="1"/>
          <c:tx>
            <c:strRef>
              <c:f>'mortalita 2007-2015 x100000'!$R$15</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'mortalita 2007-2015 x100000'!$P$16:$P$18</c:f>
              <c:strCache>
                <c:ptCount val="3"/>
                <c:pt idx="0">
                  <c:v>CREMA</c:v>
                </c:pt>
                <c:pt idx="1">
                  <c:v>CREMONA</c:v>
                </c:pt>
                <c:pt idx="2">
                  <c:v>MANTOVA</c:v>
                </c:pt>
              </c:strCache>
            </c:strRef>
          </c:cat>
          <c:val>
            <c:numRef>
              <c:f>'mortalita 2007-2015 x100000'!$R$16:$R$18</c:f>
              <c:numCache>
                <c:formatCode>0.0</c:formatCode>
                <c:ptCount val="3"/>
                <c:pt idx="0">
                  <c:v>84.490000000000023</c:v>
                </c:pt>
                <c:pt idx="1">
                  <c:v>68.98</c:v>
                </c:pt>
                <c:pt idx="2">
                  <c:v>83.7</c:v>
                </c:pt>
              </c:numCache>
            </c:numRef>
          </c:val>
        </c:ser>
        <c:dLbls>
          <c:showLegendKey val="0"/>
          <c:showVal val="0"/>
          <c:showCatName val="0"/>
          <c:showSerName val="0"/>
          <c:showPercent val="0"/>
          <c:showBubbleSize val="0"/>
        </c:dLbls>
        <c:gapWidth val="150"/>
        <c:shape val="box"/>
        <c:axId val="248279808"/>
        <c:axId val="248281344"/>
        <c:axId val="0"/>
      </c:bar3DChart>
      <c:catAx>
        <c:axId val="248279808"/>
        <c:scaling>
          <c:orientation val="minMax"/>
        </c:scaling>
        <c:delete val="0"/>
        <c:axPos val="l"/>
        <c:majorTickMark val="none"/>
        <c:minorTickMark val="none"/>
        <c:tickLblPos val="nextTo"/>
        <c:txPr>
          <a:bodyPr/>
          <a:lstStyle/>
          <a:p>
            <a:pPr>
              <a:defRPr sz="800" b="1"/>
            </a:pPr>
            <a:endParaRPr lang="it-IT"/>
          </a:p>
        </c:txPr>
        <c:crossAx val="248281344"/>
        <c:crosses val="autoZero"/>
        <c:auto val="1"/>
        <c:lblAlgn val="ctr"/>
        <c:lblOffset val="100"/>
        <c:noMultiLvlLbl val="0"/>
      </c:catAx>
      <c:valAx>
        <c:axId val="24828134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8279808"/>
        <c:crosses val="autoZero"/>
        <c:crossBetween val="between"/>
      </c:valAx>
    </c:plotArea>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Diabete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grafici_BDA!$L$50</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49,7*</a:t>
                    </a:r>
                  </a:p>
                </c:rich>
              </c:tx>
              <c:spPr/>
              <c:showLegendKey val="0"/>
              <c:showVal val="1"/>
              <c:showCatName val="0"/>
              <c:showSerName val="0"/>
              <c:showPercent val="0"/>
              <c:showBubbleSize val="0"/>
            </c:dLbl>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dLbls>
          <c:cat>
            <c:strRef>
              <c:f>grafici_BDA!$K$51:$K$53</c:f>
              <c:strCache>
                <c:ptCount val="3"/>
                <c:pt idx="0">
                  <c:v>CREMA</c:v>
                </c:pt>
                <c:pt idx="1">
                  <c:v>CREMONA</c:v>
                </c:pt>
                <c:pt idx="2">
                  <c:v>MANTOVA</c:v>
                </c:pt>
              </c:strCache>
            </c:strRef>
          </c:cat>
          <c:val>
            <c:numRef>
              <c:f>grafici_BDA!$L$51:$L$53</c:f>
              <c:numCache>
                <c:formatCode>0.0</c:formatCode>
                <c:ptCount val="3"/>
                <c:pt idx="0">
                  <c:v>40.200000000000003</c:v>
                </c:pt>
                <c:pt idx="1">
                  <c:v>40.04</c:v>
                </c:pt>
                <c:pt idx="2">
                  <c:v>49.65</c:v>
                </c:pt>
              </c:numCache>
            </c:numRef>
          </c:val>
        </c:ser>
        <c:ser>
          <c:idx val="1"/>
          <c:order val="1"/>
          <c:tx>
            <c:strRef>
              <c:f>grafici_BDA!$M$50</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67,6*</a:t>
                    </a:r>
                  </a:p>
                </c:rich>
              </c:tx>
              <c:spPr/>
              <c:showLegendKey val="0"/>
              <c:showVal val="1"/>
              <c:showCatName val="0"/>
              <c:showSerName val="0"/>
              <c:showPercent val="0"/>
              <c:showBubbleSize val="0"/>
            </c:dLbl>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dLbls>
          <c:cat>
            <c:strRef>
              <c:f>grafici_BDA!$K$51:$K$53</c:f>
              <c:strCache>
                <c:ptCount val="3"/>
                <c:pt idx="0">
                  <c:v>CREMA</c:v>
                </c:pt>
                <c:pt idx="1">
                  <c:v>CREMONA</c:v>
                </c:pt>
                <c:pt idx="2">
                  <c:v>MANTOVA</c:v>
                </c:pt>
              </c:strCache>
            </c:strRef>
          </c:cat>
          <c:val>
            <c:numRef>
              <c:f>grafici_BDA!$M$51:$M$53</c:f>
              <c:numCache>
                <c:formatCode>0.0</c:formatCode>
                <c:ptCount val="3"/>
                <c:pt idx="0">
                  <c:v>58.33</c:v>
                </c:pt>
                <c:pt idx="1">
                  <c:v>58.05</c:v>
                </c:pt>
                <c:pt idx="2">
                  <c:v>67.63</c:v>
                </c:pt>
              </c:numCache>
            </c:numRef>
          </c:val>
        </c:ser>
        <c:dLbls>
          <c:showLegendKey val="0"/>
          <c:showVal val="0"/>
          <c:showCatName val="0"/>
          <c:showSerName val="0"/>
          <c:showPercent val="0"/>
          <c:showBubbleSize val="0"/>
        </c:dLbls>
        <c:gapWidth val="150"/>
        <c:shape val="box"/>
        <c:axId val="249078528"/>
        <c:axId val="249080064"/>
        <c:axId val="0"/>
      </c:bar3DChart>
      <c:catAx>
        <c:axId val="249078528"/>
        <c:scaling>
          <c:orientation val="minMax"/>
        </c:scaling>
        <c:delete val="0"/>
        <c:axPos val="l"/>
        <c:majorTickMark val="none"/>
        <c:minorTickMark val="none"/>
        <c:tickLblPos val="nextTo"/>
        <c:txPr>
          <a:bodyPr/>
          <a:lstStyle/>
          <a:p>
            <a:pPr>
              <a:defRPr sz="800" b="1"/>
            </a:pPr>
            <a:endParaRPr lang="it-IT"/>
          </a:p>
        </c:txPr>
        <c:crossAx val="249080064"/>
        <c:crosses val="autoZero"/>
        <c:auto val="1"/>
        <c:lblAlgn val="ctr"/>
        <c:lblOffset val="100"/>
        <c:noMultiLvlLbl val="0"/>
      </c:catAx>
      <c:valAx>
        <c:axId val="24908006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9078528"/>
        <c:crosses val="autoZero"/>
        <c:crossBetween val="between"/>
        <c:majorUnit val="30"/>
      </c:valAx>
    </c:plotArea>
    <c:plotVisOnly val="1"/>
    <c:dispBlanksAs val="gap"/>
    <c:showDLblsOverMax val="0"/>
  </c:chart>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Insufficienza renale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grafici_BDA!$L$74</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5,7*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grafici_BDA!$K$75:$K$77</c:f>
              <c:strCache>
                <c:ptCount val="3"/>
                <c:pt idx="0">
                  <c:v>CREMA</c:v>
                </c:pt>
                <c:pt idx="1">
                  <c:v>CREMONA</c:v>
                </c:pt>
                <c:pt idx="2">
                  <c:v>MANTOVA</c:v>
                </c:pt>
              </c:strCache>
            </c:strRef>
          </c:cat>
          <c:val>
            <c:numRef>
              <c:f>grafici_BDA!$L$75:$L$77</c:f>
              <c:numCache>
                <c:formatCode>0.0</c:formatCode>
                <c:ptCount val="3"/>
                <c:pt idx="0">
                  <c:v>2.13</c:v>
                </c:pt>
                <c:pt idx="1">
                  <c:v>2.2400000000000002</c:v>
                </c:pt>
                <c:pt idx="2">
                  <c:v>5.6599999999999975</c:v>
                </c:pt>
              </c:numCache>
            </c:numRef>
          </c:val>
        </c:ser>
        <c:ser>
          <c:idx val="1"/>
          <c:order val="1"/>
          <c:tx>
            <c:strRef>
              <c:f>grafici_BDA!$M$74</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5,7*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grafici_BDA!$K$75:$K$77</c:f>
              <c:strCache>
                <c:ptCount val="3"/>
                <c:pt idx="0">
                  <c:v>CREMA</c:v>
                </c:pt>
                <c:pt idx="1">
                  <c:v>CREMONA</c:v>
                </c:pt>
                <c:pt idx="2">
                  <c:v>MANTOVA</c:v>
                </c:pt>
              </c:strCache>
            </c:strRef>
          </c:cat>
          <c:val>
            <c:numRef>
              <c:f>grafici_BDA!$M$75:$M$77</c:f>
              <c:numCache>
                <c:formatCode>0.0</c:formatCode>
                <c:ptCount val="3"/>
                <c:pt idx="0">
                  <c:v>2.13</c:v>
                </c:pt>
                <c:pt idx="1">
                  <c:v>2.2400000000000002</c:v>
                </c:pt>
                <c:pt idx="2">
                  <c:v>5.6599999999999975</c:v>
                </c:pt>
              </c:numCache>
            </c:numRef>
          </c:val>
        </c:ser>
        <c:dLbls>
          <c:showLegendKey val="0"/>
          <c:showVal val="0"/>
          <c:showCatName val="0"/>
          <c:showSerName val="0"/>
          <c:showPercent val="0"/>
          <c:showBubbleSize val="0"/>
        </c:dLbls>
        <c:gapWidth val="150"/>
        <c:shape val="box"/>
        <c:axId val="249484032"/>
        <c:axId val="249485568"/>
        <c:axId val="0"/>
      </c:bar3DChart>
      <c:catAx>
        <c:axId val="249484032"/>
        <c:scaling>
          <c:orientation val="minMax"/>
        </c:scaling>
        <c:delete val="0"/>
        <c:axPos val="l"/>
        <c:majorTickMark val="none"/>
        <c:minorTickMark val="none"/>
        <c:tickLblPos val="nextTo"/>
        <c:txPr>
          <a:bodyPr/>
          <a:lstStyle/>
          <a:p>
            <a:pPr>
              <a:defRPr sz="800" b="1"/>
            </a:pPr>
            <a:endParaRPr lang="it-IT"/>
          </a:p>
        </c:txPr>
        <c:crossAx val="249485568"/>
        <c:crosses val="autoZero"/>
        <c:auto val="1"/>
        <c:lblAlgn val="ctr"/>
        <c:lblOffset val="100"/>
        <c:noMultiLvlLbl val="0"/>
      </c:catAx>
      <c:valAx>
        <c:axId val="249485568"/>
        <c:scaling>
          <c:orientation val="minMax"/>
          <c:max val="6"/>
        </c:scaling>
        <c:delete val="0"/>
        <c:axPos val="b"/>
        <c:majorGridlines/>
        <c:numFmt formatCode="0.0" sourceLinked="1"/>
        <c:majorTickMark val="none"/>
        <c:minorTickMark val="none"/>
        <c:tickLblPos val="nextTo"/>
        <c:txPr>
          <a:bodyPr/>
          <a:lstStyle/>
          <a:p>
            <a:pPr>
              <a:defRPr sz="800" b="1"/>
            </a:pPr>
            <a:endParaRPr lang="it-IT"/>
          </a:p>
        </c:txPr>
        <c:crossAx val="249484032"/>
        <c:crosses val="autoZero"/>
        <c:crossBetween val="between"/>
        <c:majorUnit val="2"/>
      </c:valAx>
    </c:plotArea>
    <c:plotVisOnly val="1"/>
    <c:dispBlanksAs val="gap"/>
    <c:showDLblsOverMax val="0"/>
  </c:chart>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Malattie endocrine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grafici_BDA!$L$2</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109,3*</a:t>
                    </a:r>
                  </a:p>
                </c:rich>
              </c:tx>
              <c:spPr/>
              <c:showLegendKey val="0"/>
              <c:showVal val="1"/>
              <c:showCatName val="0"/>
              <c:showSerName val="0"/>
              <c:showPercent val="0"/>
              <c:showBubbleSize val="0"/>
            </c:dLbl>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dLbls>
          <c:cat>
            <c:strRef>
              <c:f>grafici_BDA!$K$3:$K$5</c:f>
              <c:strCache>
                <c:ptCount val="3"/>
                <c:pt idx="0">
                  <c:v>CREMA</c:v>
                </c:pt>
                <c:pt idx="1">
                  <c:v>CREMONA</c:v>
                </c:pt>
                <c:pt idx="2">
                  <c:v>MANTOVA</c:v>
                </c:pt>
              </c:strCache>
            </c:strRef>
          </c:cat>
          <c:val>
            <c:numRef>
              <c:f>grafici_BDA!$L$3:$L$5</c:f>
              <c:numCache>
                <c:formatCode>0.0</c:formatCode>
                <c:ptCount val="3"/>
                <c:pt idx="0">
                  <c:v>76</c:v>
                </c:pt>
                <c:pt idx="1">
                  <c:v>85.11</c:v>
                </c:pt>
                <c:pt idx="2">
                  <c:v>109.25</c:v>
                </c:pt>
              </c:numCache>
            </c:numRef>
          </c:val>
        </c:ser>
        <c:ser>
          <c:idx val="1"/>
          <c:order val="1"/>
          <c:tx>
            <c:strRef>
              <c:f>grafici_BDA!$M$2</c:f>
              <c:strCache>
                <c:ptCount val="1"/>
                <c:pt idx="0">
                  <c:v>M</c:v>
                </c:pt>
              </c:strCache>
            </c:strRef>
          </c:tx>
          <c:spPr>
            <a:solidFill>
              <a:srgbClr val="0066FF"/>
            </a:solidFill>
          </c:spPr>
          <c:invertIfNegative val="0"/>
          <c:dLbls>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dLbls>
          <c:cat>
            <c:strRef>
              <c:f>grafici_BDA!$K$3:$K$5</c:f>
              <c:strCache>
                <c:ptCount val="3"/>
                <c:pt idx="0">
                  <c:v>CREMA</c:v>
                </c:pt>
                <c:pt idx="1">
                  <c:v>CREMONA</c:v>
                </c:pt>
                <c:pt idx="2">
                  <c:v>MANTOVA</c:v>
                </c:pt>
              </c:strCache>
            </c:strRef>
          </c:cat>
          <c:val>
            <c:numRef>
              <c:f>grafici_BDA!$M$3:$M$5</c:f>
              <c:numCache>
                <c:formatCode>0.0</c:formatCode>
                <c:ptCount val="3"/>
                <c:pt idx="0">
                  <c:v>66.06</c:v>
                </c:pt>
                <c:pt idx="1">
                  <c:v>66.72</c:v>
                </c:pt>
                <c:pt idx="2">
                  <c:v>93.31</c:v>
                </c:pt>
              </c:numCache>
            </c:numRef>
          </c:val>
        </c:ser>
        <c:dLbls>
          <c:showLegendKey val="0"/>
          <c:showVal val="0"/>
          <c:showCatName val="0"/>
          <c:showSerName val="0"/>
          <c:showPercent val="0"/>
          <c:showBubbleSize val="0"/>
        </c:dLbls>
        <c:gapWidth val="150"/>
        <c:shape val="box"/>
        <c:axId val="249958784"/>
        <c:axId val="249960320"/>
        <c:axId val="0"/>
      </c:bar3DChart>
      <c:catAx>
        <c:axId val="249958784"/>
        <c:scaling>
          <c:orientation val="minMax"/>
        </c:scaling>
        <c:delete val="0"/>
        <c:axPos val="l"/>
        <c:majorTickMark val="none"/>
        <c:minorTickMark val="none"/>
        <c:tickLblPos val="nextTo"/>
        <c:txPr>
          <a:bodyPr/>
          <a:lstStyle/>
          <a:p>
            <a:pPr>
              <a:defRPr sz="800" b="1"/>
            </a:pPr>
            <a:endParaRPr lang="it-IT"/>
          </a:p>
        </c:txPr>
        <c:crossAx val="249960320"/>
        <c:crosses val="autoZero"/>
        <c:auto val="1"/>
        <c:lblAlgn val="ctr"/>
        <c:lblOffset val="100"/>
        <c:noMultiLvlLbl val="0"/>
      </c:catAx>
      <c:valAx>
        <c:axId val="24996032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49958784"/>
        <c:crosses val="autoZero"/>
        <c:crossBetween val="between"/>
        <c:majorUnit val="30"/>
      </c:valAx>
    </c:plotArea>
    <c:plotVisOnly val="1"/>
    <c:dispBlanksAs val="gap"/>
    <c:showDLblsOverMax val="0"/>
  </c:chart>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Malattie autoimmuni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grafici_BDA!$L$10</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36,7*</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grafici_BDA!$K$11:$K$13</c:f>
              <c:strCache>
                <c:ptCount val="3"/>
                <c:pt idx="0">
                  <c:v>CREMA</c:v>
                </c:pt>
                <c:pt idx="1">
                  <c:v>CREMONA</c:v>
                </c:pt>
                <c:pt idx="2">
                  <c:v>MANTOVA</c:v>
                </c:pt>
              </c:strCache>
            </c:strRef>
          </c:cat>
          <c:val>
            <c:numRef>
              <c:f>grafici_BDA!$L$11:$L$13</c:f>
              <c:numCache>
                <c:formatCode>0.0</c:formatCode>
                <c:ptCount val="3"/>
                <c:pt idx="0">
                  <c:v>16.130000000000027</c:v>
                </c:pt>
                <c:pt idx="1">
                  <c:v>19.309999999999999</c:v>
                </c:pt>
                <c:pt idx="2">
                  <c:v>36.65</c:v>
                </c:pt>
              </c:numCache>
            </c:numRef>
          </c:val>
        </c:ser>
        <c:ser>
          <c:idx val="1"/>
          <c:order val="1"/>
          <c:tx>
            <c:strRef>
              <c:f>grafici_BDA!$M$10</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6,6*</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grafici_BDA!$K$11:$K$13</c:f>
              <c:strCache>
                <c:ptCount val="3"/>
                <c:pt idx="0">
                  <c:v>CREMA</c:v>
                </c:pt>
                <c:pt idx="1">
                  <c:v>CREMONA</c:v>
                </c:pt>
                <c:pt idx="2">
                  <c:v>MANTOVA</c:v>
                </c:pt>
              </c:strCache>
            </c:strRef>
          </c:cat>
          <c:val>
            <c:numRef>
              <c:f>grafici_BDA!$M$11:$M$13</c:f>
              <c:numCache>
                <c:formatCode>0.0</c:formatCode>
                <c:ptCount val="3"/>
                <c:pt idx="0">
                  <c:v>3.8</c:v>
                </c:pt>
                <c:pt idx="1">
                  <c:v>3.74</c:v>
                </c:pt>
                <c:pt idx="2">
                  <c:v>6.6099999999999985</c:v>
                </c:pt>
              </c:numCache>
            </c:numRef>
          </c:val>
        </c:ser>
        <c:dLbls>
          <c:showLegendKey val="0"/>
          <c:showVal val="0"/>
          <c:showCatName val="0"/>
          <c:showSerName val="0"/>
          <c:showPercent val="0"/>
          <c:showBubbleSize val="0"/>
        </c:dLbls>
        <c:gapWidth val="150"/>
        <c:shape val="box"/>
        <c:axId val="250143104"/>
        <c:axId val="250144640"/>
        <c:axId val="0"/>
      </c:bar3DChart>
      <c:catAx>
        <c:axId val="250143104"/>
        <c:scaling>
          <c:orientation val="minMax"/>
        </c:scaling>
        <c:delete val="0"/>
        <c:axPos val="l"/>
        <c:majorTickMark val="none"/>
        <c:minorTickMark val="none"/>
        <c:tickLblPos val="nextTo"/>
        <c:txPr>
          <a:bodyPr/>
          <a:lstStyle/>
          <a:p>
            <a:pPr>
              <a:defRPr sz="800" b="1"/>
            </a:pPr>
            <a:endParaRPr lang="it-IT"/>
          </a:p>
        </c:txPr>
        <c:crossAx val="250144640"/>
        <c:crosses val="autoZero"/>
        <c:auto val="1"/>
        <c:lblAlgn val="ctr"/>
        <c:lblOffset val="100"/>
        <c:noMultiLvlLbl val="0"/>
      </c:catAx>
      <c:valAx>
        <c:axId val="2501446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0143104"/>
        <c:crosses val="autoZero"/>
        <c:crossBetween val="between"/>
        <c:majorUnit val="20"/>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Popolazione straniera ATS</a:t>
            </a:r>
          </a:p>
        </c:rich>
      </c:tx>
      <c:layout>
        <c:manualLayout>
          <c:xMode val="edge"/>
          <c:yMode val="edge"/>
          <c:x val="0.16884976202041771"/>
          <c:y val="4.2887776983559694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PIRAMIDI!$B$110</c:f>
              <c:strCache>
                <c:ptCount val="1"/>
                <c:pt idx="0">
                  <c:v>F</c:v>
                </c:pt>
              </c:strCache>
            </c:strRef>
          </c:tx>
          <c:spPr>
            <a:solidFill>
              <a:srgbClr val="FF66FF"/>
            </a:solidFill>
          </c:spPr>
          <c:invertIfNegative val="0"/>
          <c:cat>
            <c:strRef>
              <c:f>PIRAMIDI!$A$111:$A$130</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PIRAMIDI!$B$111:$B$130</c:f>
              <c:numCache>
                <c:formatCode>0;[Red]0</c:formatCode>
                <c:ptCount val="20"/>
                <c:pt idx="0">
                  <c:v>-4083</c:v>
                </c:pt>
                <c:pt idx="1">
                  <c:v>-4195</c:v>
                </c:pt>
                <c:pt idx="2">
                  <c:v>-3096</c:v>
                </c:pt>
                <c:pt idx="3">
                  <c:v>-2771</c:v>
                </c:pt>
                <c:pt idx="4">
                  <c:v>-3135</c:v>
                </c:pt>
                <c:pt idx="5">
                  <c:v>-4963</c:v>
                </c:pt>
                <c:pt idx="6">
                  <c:v>-5782</c:v>
                </c:pt>
                <c:pt idx="7">
                  <c:v>-5952</c:v>
                </c:pt>
                <c:pt idx="8">
                  <c:v>-4950</c:v>
                </c:pt>
                <c:pt idx="9">
                  <c:v>-4056</c:v>
                </c:pt>
                <c:pt idx="10">
                  <c:v>-2907</c:v>
                </c:pt>
                <c:pt idx="11">
                  <c:v>-2232</c:v>
                </c:pt>
                <c:pt idx="12">
                  <c:v>-1491</c:v>
                </c:pt>
                <c:pt idx="13">
                  <c:v>-865</c:v>
                </c:pt>
                <c:pt idx="14">
                  <c:v>-473</c:v>
                </c:pt>
                <c:pt idx="15">
                  <c:v>-318</c:v>
                </c:pt>
                <c:pt idx="16">
                  <c:v>-153</c:v>
                </c:pt>
                <c:pt idx="17">
                  <c:v>-43</c:v>
                </c:pt>
                <c:pt idx="18">
                  <c:v>-13</c:v>
                </c:pt>
                <c:pt idx="19">
                  <c:v>-2</c:v>
                </c:pt>
              </c:numCache>
            </c:numRef>
          </c:val>
        </c:ser>
        <c:ser>
          <c:idx val="1"/>
          <c:order val="1"/>
          <c:tx>
            <c:strRef>
              <c:f>PIRAMIDI!$C$110</c:f>
              <c:strCache>
                <c:ptCount val="1"/>
                <c:pt idx="0">
                  <c:v>M</c:v>
                </c:pt>
              </c:strCache>
            </c:strRef>
          </c:tx>
          <c:spPr>
            <a:solidFill>
              <a:srgbClr val="00B0F0"/>
            </a:solidFill>
          </c:spPr>
          <c:invertIfNegative val="0"/>
          <c:cat>
            <c:strRef>
              <c:f>PIRAMIDI!$A$111:$A$130</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PIRAMIDI!$C$111:$C$130</c:f>
              <c:numCache>
                <c:formatCode>General</c:formatCode>
                <c:ptCount val="20"/>
                <c:pt idx="0">
                  <c:v>4391</c:v>
                </c:pt>
                <c:pt idx="1">
                  <c:v>4544</c:v>
                </c:pt>
                <c:pt idx="2">
                  <c:v>3391</c:v>
                </c:pt>
                <c:pt idx="3">
                  <c:v>3294</c:v>
                </c:pt>
                <c:pt idx="4">
                  <c:v>3491</c:v>
                </c:pt>
                <c:pt idx="5">
                  <c:v>4533</c:v>
                </c:pt>
                <c:pt idx="6">
                  <c:v>5196</c:v>
                </c:pt>
                <c:pt idx="7">
                  <c:v>5878</c:v>
                </c:pt>
                <c:pt idx="8">
                  <c:v>5018</c:v>
                </c:pt>
                <c:pt idx="9">
                  <c:v>4250</c:v>
                </c:pt>
                <c:pt idx="10">
                  <c:v>2736</c:v>
                </c:pt>
                <c:pt idx="11">
                  <c:v>1651</c:v>
                </c:pt>
                <c:pt idx="12">
                  <c:v>829</c:v>
                </c:pt>
                <c:pt idx="13">
                  <c:v>435</c:v>
                </c:pt>
                <c:pt idx="14">
                  <c:v>276</c:v>
                </c:pt>
                <c:pt idx="15">
                  <c:v>189</c:v>
                </c:pt>
                <c:pt idx="16">
                  <c:v>97</c:v>
                </c:pt>
                <c:pt idx="17">
                  <c:v>22</c:v>
                </c:pt>
                <c:pt idx="18">
                  <c:v>6</c:v>
                </c:pt>
                <c:pt idx="19">
                  <c:v>0</c:v>
                </c:pt>
              </c:numCache>
            </c:numRef>
          </c:val>
        </c:ser>
        <c:dLbls>
          <c:showLegendKey val="0"/>
          <c:showVal val="0"/>
          <c:showCatName val="0"/>
          <c:showSerName val="0"/>
          <c:showPercent val="0"/>
          <c:showBubbleSize val="0"/>
        </c:dLbls>
        <c:gapWidth val="0"/>
        <c:gapDepth val="6"/>
        <c:shape val="box"/>
        <c:axId val="218214784"/>
        <c:axId val="218216320"/>
        <c:axId val="0"/>
      </c:bar3DChart>
      <c:catAx>
        <c:axId val="218214784"/>
        <c:scaling>
          <c:orientation val="minMax"/>
        </c:scaling>
        <c:delete val="0"/>
        <c:axPos val="l"/>
        <c:majorTickMark val="none"/>
        <c:minorTickMark val="none"/>
        <c:tickLblPos val="nextTo"/>
        <c:txPr>
          <a:bodyPr/>
          <a:lstStyle/>
          <a:p>
            <a:pPr>
              <a:defRPr sz="600" b="1"/>
            </a:pPr>
            <a:endParaRPr lang="it-IT"/>
          </a:p>
        </c:txPr>
        <c:crossAx val="218216320"/>
        <c:crosses val="autoZero"/>
        <c:auto val="1"/>
        <c:lblAlgn val="ctr"/>
        <c:lblOffset val="100"/>
        <c:noMultiLvlLbl val="0"/>
      </c:catAx>
      <c:valAx>
        <c:axId val="218216320"/>
        <c:scaling>
          <c:orientation val="minMax"/>
          <c:max val="8000"/>
          <c:min val="-8000"/>
        </c:scaling>
        <c:delete val="0"/>
        <c:axPos val="b"/>
        <c:majorGridlines>
          <c:spPr>
            <a:ln>
              <a:noFill/>
            </a:ln>
          </c:spPr>
        </c:majorGridlines>
        <c:numFmt formatCode="0;[Red]0" sourceLinked="1"/>
        <c:majorTickMark val="none"/>
        <c:minorTickMark val="none"/>
        <c:tickLblPos val="nextTo"/>
        <c:txPr>
          <a:bodyPr/>
          <a:lstStyle/>
          <a:p>
            <a:pPr>
              <a:defRPr sz="800"/>
            </a:pPr>
            <a:endParaRPr lang="it-IT"/>
          </a:p>
        </c:txPr>
        <c:crossAx val="218214784"/>
        <c:crosses val="autoZero"/>
        <c:crossBetween val="between"/>
        <c:majorUnit val="4000"/>
      </c:valAx>
    </c:plotArea>
    <c:plotVisOnly val="1"/>
    <c:dispBlanksAs val="gap"/>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H-Patologie respiratorie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OSPEDALIZZAZIONE'!$Q$35</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7,4*</a:t>
                    </a:r>
                  </a:p>
                </c:rich>
              </c:tx>
              <c:spPr/>
              <c:showLegendKey val="0"/>
              <c:showVal val="1"/>
              <c:showCatName val="0"/>
              <c:showSerName val="0"/>
              <c:showPercent val="0"/>
              <c:showBubbleSize val="0"/>
            </c:dLbl>
            <c:dLbl>
              <c:idx val="1"/>
              <c:tx>
                <c:rich>
                  <a:bodyPr/>
                  <a:lstStyle/>
                  <a:p>
                    <a:pPr>
                      <a:defRPr sz="800" b="1">
                        <a:solidFill>
                          <a:srgbClr val="FF0000"/>
                        </a:solidFill>
                      </a:defRPr>
                    </a:pPr>
                    <a:r>
                      <a:rPr lang="en-US"/>
                      <a:t>8,0*</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OSPEDALIZZAZIONE'!$P$36:$P$38</c:f>
              <c:strCache>
                <c:ptCount val="3"/>
                <c:pt idx="0">
                  <c:v>CREMA</c:v>
                </c:pt>
                <c:pt idx="1">
                  <c:v>CREMONA</c:v>
                </c:pt>
                <c:pt idx="2">
                  <c:v>MANTOVA</c:v>
                </c:pt>
              </c:strCache>
            </c:strRef>
          </c:cat>
          <c:val>
            <c:numRef>
              <c:f>'GRAFICI OSPEDALIZZAZIONE'!$Q$36:$Q$38</c:f>
              <c:numCache>
                <c:formatCode>0.0</c:formatCode>
                <c:ptCount val="3"/>
                <c:pt idx="0">
                  <c:v>7.4</c:v>
                </c:pt>
                <c:pt idx="1">
                  <c:v>7.95</c:v>
                </c:pt>
                <c:pt idx="2">
                  <c:v>6.04</c:v>
                </c:pt>
              </c:numCache>
            </c:numRef>
          </c:val>
        </c:ser>
        <c:ser>
          <c:idx val="1"/>
          <c:order val="1"/>
          <c:tx>
            <c:strRef>
              <c:f>'GRAFICI OSPEDALIZZAZIONE'!$R$35</c:f>
              <c:strCache>
                <c:ptCount val="1"/>
                <c:pt idx="0">
                  <c:v>M</c:v>
                </c:pt>
              </c:strCache>
            </c:strRef>
          </c:tx>
          <c:spPr>
            <a:solidFill>
              <a:srgbClr val="0066FF"/>
            </a:solidFill>
          </c:spPr>
          <c:invertIfNegative val="0"/>
          <c:dLbls>
            <c:dLbl>
              <c:idx val="0"/>
              <c:tx>
                <c:rich>
                  <a:bodyPr/>
                  <a:lstStyle/>
                  <a:p>
                    <a:pPr>
                      <a:defRPr sz="800" b="1">
                        <a:solidFill>
                          <a:srgbClr val="FF0000"/>
                        </a:solidFill>
                      </a:defRPr>
                    </a:pPr>
                    <a:r>
                      <a:rPr lang="en-US"/>
                      <a:t>13,2*</a:t>
                    </a:r>
                  </a:p>
                </c:rich>
              </c:tx>
              <c:spPr/>
              <c:showLegendKey val="0"/>
              <c:showVal val="1"/>
              <c:showCatName val="0"/>
              <c:showSerName val="0"/>
              <c:showPercent val="0"/>
              <c:showBubbleSize val="0"/>
            </c:dLbl>
            <c:dLbl>
              <c:idx val="1"/>
              <c:tx>
                <c:rich>
                  <a:bodyPr/>
                  <a:lstStyle/>
                  <a:p>
                    <a:pPr>
                      <a:defRPr sz="800" b="1">
                        <a:solidFill>
                          <a:srgbClr val="FF0000"/>
                        </a:solidFill>
                      </a:defRPr>
                    </a:pPr>
                    <a:r>
                      <a:rPr lang="en-US"/>
                      <a:t>14,3*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OSPEDALIZZAZIONE'!$P$36:$P$38</c:f>
              <c:strCache>
                <c:ptCount val="3"/>
                <c:pt idx="0">
                  <c:v>CREMA</c:v>
                </c:pt>
                <c:pt idx="1">
                  <c:v>CREMONA</c:v>
                </c:pt>
                <c:pt idx="2">
                  <c:v>MANTOVA</c:v>
                </c:pt>
              </c:strCache>
            </c:strRef>
          </c:cat>
          <c:val>
            <c:numRef>
              <c:f>'GRAFICI OSPEDALIZZAZIONE'!$R$36:$R$38</c:f>
              <c:numCache>
                <c:formatCode>0.0</c:formatCode>
                <c:ptCount val="3"/>
                <c:pt idx="0">
                  <c:v>13.19</c:v>
                </c:pt>
                <c:pt idx="1">
                  <c:v>14.3</c:v>
                </c:pt>
                <c:pt idx="2">
                  <c:v>10.63</c:v>
                </c:pt>
              </c:numCache>
            </c:numRef>
          </c:val>
        </c:ser>
        <c:dLbls>
          <c:showLegendKey val="0"/>
          <c:showVal val="0"/>
          <c:showCatName val="0"/>
          <c:showSerName val="0"/>
          <c:showPercent val="0"/>
          <c:showBubbleSize val="0"/>
        </c:dLbls>
        <c:gapWidth val="150"/>
        <c:shape val="box"/>
        <c:axId val="251872384"/>
        <c:axId val="251873920"/>
        <c:axId val="0"/>
      </c:bar3DChart>
      <c:catAx>
        <c:axId val="251872384"/>
        <c:scaling>
          <c:orientation val="minMax"/>
        </c:scaling>
        <c:delete val="0"/>
        <c:axPos val="l"/>
        <c:majorTickMark val="none"/>
        <c:minorTickMark val="none"/>
        <c:tickLblPos val="nextTo"/>
        <c:txPr>
          <a:bodyPr/>
          <a:lstStyle/>
          <a:p>
            <a:pPr>
              <a:defRPr sz="800" b="1"/>
            </a:pPr>
            <a:endParaRPr lang="it-IT"/>
          </a:p>
        </c:txPr>
        <c:crossAx val="251873920"/>
        <c:crosses val="autoZero"/>
        <c:auto val="1"/>
        <c:lblAlgn val="ctr"/>
        <c:lblOffset val="100"/>
        <c:noMultiLvlLbl val="0"/>
      </c:catAx>
      <c:valAx>
        <c:axId val="25187392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1872384"/>
        <c:crosses val="autoZero"/>
        <c:crossBetween val="between"/>
      </c:valAx>
    </c:plotArea>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M-Patologie respiratorie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x100000'!$Q$8</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51,3*</a:t>
                    </a:r>
                  </a:p>
                </c:rich>
              </c:tx>
              <c:spPr>
                <a:noFill/>
                <a:ln>
                  <a:noFill/>
                </a:ln>
                <a:effectLst/>
              </c:spPr>
              <c:showLegendKey val="0"/>
              <c:showVal val="1"/>
              <c:showCatName val="0"/>
              <c:showSerName val="0"/>
              <c:showPercent val="0"/>
              <c:showBubbleSize val="0"/>
            </c:dLbl>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'mortalita 2007-2015 x100000'!$P$9:$P$11</c:f>
              <c:strCache>
                <c:ptCount val="3"/>
                <c:pt idx="0">
                  <c:v>CREMA</c:v>
                </c:pt>
                <c:pt idx="1">
                  <c:v>CREMONA</c:v>
                </c:pt>
                <c:pt idx="2">
                  <c:v>MANTOVA</c:v>
                </c:pt>
              </c:strCache>
            </c:strRef>
          </c:cat>
          <c:val>
            <c:numRef>
              <c:f>'mortalita 2007-2015 x100000'!$Q$9:$Q$11</c:f>
              <c:numCache>
                <c:formatCode>0.0</c:formatCode>
                <c:ptCount val="3"/>
                <c:pt idx="0">
                  <c:v>51.3</c:v>
                </c:pt>
                <c:pt idx="1">
                  <c:v>43.85</c:v>
                </c:pt>
                <c:pt idx="2">
                  <c:v>39.120000000000012</c:v>
                </c:pt>
              </c:numCache>
            </c:numRef>
          </c:val>
        </c:ser>
        <c:ser>
          <c:idx val="1"/>
          <c:order val="1"/>
          <c:tx>
            <c:strRef>
              <c:f>'mortalita 2007-2015 x100000'!$R$8</c:f>
              <c:strCache>
                <c:ptCount val="1"/>
                <c:pt idx="0">
                  <c:v>M</c:v>
                </c:pt>
              </c:strCache>
            </c:strRef>
          </c:tx>
          <c:spPr>
            <a:solidFill>
              <a:srgbClr val="0066FF"/>
            </a:solidFill>
          </c:spPr>
          <c:invertIfNegative val="0"/>
          <c:dLbls>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'mortalita 2007-2015 x100000'!$P$9:$P$11</c:f>
              <c:strCache>
                <c:ptCount val="3"/>
                <c:pt idx="0">
                  <c:v>CREMA</c:v>
                </c:pt>
                <c:pt idx="1">
                  <c:v>CREMONA</c:v>
                </c:pt>
                <c:pt idx="2">
                  <c:v>MANTOVA</c:v>
                </c:pt>
              </c:strCache>
            </c:strRef>
          </c:cat>
          <c:val>
            <c:numRef>
              <c:f>'mortalita 2007-2015 x100000'!$R$9:$R$11</c:f>
              <c:numCache>
                <c:formatCode>0.0</c:formatCode>
                <c:ptCount val="3"/>
                <c:pt idx="0">
                  <c:v>107.5</c:v>
                </c:pt>
                <c:pt idx="1">
                  <c:v>100.02</c:v>
                </c:pt>
                <c:pt idx="2">
                  <c:v>81.510000000000005</c:v>
                </c:pt>
              </c:numCache>
            </c:numRef>
          </c:val>
        </c:ser>
        <c:dLbls>
          <c:showLegendKey val="0"/>
          <c:showVal val="0"/>
          <c:showCatName val="0"/>
          <c:showSerName val="0"/>
          <c:showPercent val="0"/>
          <c:showBubbleSize val="0"/>
        </c:dLbls>
        <c:gapWidth val="150"/>
        <c:shape val="box"/>
        <c:axId val="252375808"/>
        <c:axId val="252377344"/>
        <c:axId val="0"/>
      </c:bar3DChart>
      <c:catAx>
        <c:axId val="252375808"/>
        <c:scaling>
          <c:orientation val="minMax"/>
        </c:scaling>
        <c:delete val="0"/>
        <c:axPos val="l"/>
        <c:numFmt formatCode="General" sourceLinked="0"/>
        <c:majorTickMark val="none"/>
        <c:minorTickMark val="none"/>
        <c:tickLblPos val="nextTo"/>
        <c:txPr>
          <a:bodyPr/>
          <a:lstStyle/>
          <a:p>
            <a:pPr>
              <a:defRPr sz="800" b="1"/>
            </a:pPr>
            <a:endParaRPr lang="it-IT"/>
          </a:p>
        </c:txPr>
        <c:crossAx val="252377344"/>
        <c:crosses val="autoZero"/>
        <c:auto val="1"/>
        <c:lblAlgn val="ctr"/>
        <c:lblOffset val="100"/>
        <c:noMultiLvlLbl val="0"/>
      </c:catAx>
      <c:valAx>
        <c:axId val="25237734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2375808"/>
        <c:crosses val="autoZero"/>
        <c:crossBetween val="between"/>
      </c:valAx>
    </c:plotArea>
    <c:plotVisOnly val="1"/>
    <c:dispBlanksAs val="gap"/>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Broncopatie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grafici_BDA!$L$34</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35,8*</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grafici_BDA!$K$35:$K$37</c:f>
              <c:strCache>
                <c:ptCount val="3"/>
                <c:pt idx="0">
                  <c:v>CREMA</c:v>
                </c:pt>
                <c:pt idx="1">
                  <c:v>CREMONA</c:v>
                </c:pt>
                <c:pt idx="2">
                  <c:v>MANTOVA</c:v>
                </c:pt>
              </c:strCache>
            </c:strRef>
          </c:cat>
          <c:val>
            <c:numRef>
              <c:f>grafici_BDA!$L$35:$L$37</c:f>
              <c:numCache>
                <c:formatCode>0.0</c:formatCode>
                <c:ptCount val="3"/>
                <c:pt idx="0">
                  <c:v>27.05</c:v>
                </c:pt>
                <c:pt idx="1">
                  <c:v>31.91</c:v>
                </c:pt>
                <c:pt idx="2">
                  <c:v>35.81</c:v>
                </c:pt>
              </c:numCache>
            </c:numRef>
          </c:val>
        </c:ser>
        <c:ser>
          <c:idx val="1"/>
          <c:order val="1"/>
          <c:tx>
            <c:strRef>
              <c:f>grafici_BDA!$M$34</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43,1*</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grafici_BDA!$K$35:$K$37</c:f>
              <c:strCache>
                <c:ptCount val="3"/>
                <c:pt idx="0">
                  <c:v>CREMA</c:v>
                </c:pt>
                <c:pt idx="1">
                  <c:v>CREMONA</c:v>
                </c:pt>
                <c:pt idx="2">
                  <c:v>MANTOVA</c:v>
                </c:pt>
              </c:strCache>
            </c:strRef>
          </c:cat>
          <c:val>
            <c:numRef>
              <c:f>grafici_BDA!$M$35:$M$37</c:f>
              <c:numCache>
                <c:formatCode>0.0</c:formatCode>
                <c:ptCount val="3"/>
                <c:pt idx="0">
                  <c:v>32.83</c:v>
                </c:pt>
                <c:pt idx="1">
                  <c:v>39.31</c:v>
                </c:pt>
                <c:pt idx="2">
                  <c:v>43.07</c:v>
                </c:pt>
              </c:numCache>
            </c:numRef>
          </c:val>
        </c:ser>
        <c:dLbls>
          <c:showLegendKey val="0"/>
          <c:showVal val="0"/>
          <c:showCatName val="0"/>
          <c:showSerName val="0"/>
          <c:showPercent val="0"/>
          <c:showBubbleSize val="0"/>
        </c:dLbls>
        <c:gapWidth val="150"/>
        <c:shape val="box"/>
        <c:axId val="252904192"/>
        <c:axId val="252905728"/>
        <c:axId val="0"/>
      </c:bar3DChart>
      <c:catAx>
        <c:axId val="252904192"/>
        <c:scaling>
          <c:orientation val="minMax"/>
        </c:scaling>
        <c:delete val="0"/>
        <c:axPos val="l"/>
        <c:majorTickMark val="none"/>
        <c:minorTickMark val="none"/>
        <c:tickLblPos val="nextTo"/>
        <c:txPr>
          <a:bodyPr/>
          <a:lstStyle/>
          <a:p>
            <a:pPr>
              <a:defRPr sz="800" b="1"/>
            </a:pPr>
            <a:endParaRPr lang="it-IT"/>
          </a:p>
        </c:txPr>
        <c:crossAx val="252905728"/>
        <c:crosses val="autoZero"/>
        <c:auto val="1"/>
        <c:lblAlgn val="ctr"/>
        <c:lblOffset val="100"/>
        <c:noMultiLvlLbl val="0"/>
      </c:catAx>
      <c:valAx>
        <c:axId val="25290572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2904192"/>
        <c:crosses val="autoZero"/>
        <c:crossBetween val="between"/>
        <c:majorUnit val="30"/>
      </c:valAx>
    </c:plotArea>
    <c:plotVisOnly val="1"/>
    <c:dispBlanksAs val="gap"/>
    <c:showDLblsOverMax val="0"/>
  </c:chart>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 Broncopatie 0-14</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'nuovo bda con bimbi'!$Q$35</c:f>
              <c:strCache>
                <c:ptCount val="1"/>
                <c:pt idx="0">
                  <c:v>F</c:v>
                </c:pt>
              </c:strCache>
            </c:strRef>
          </c:tx>
          <c:spPr>
            <a:solidFill>
              <a:srgbClr val="FF66CC"/>
            </a:solidFill>
          </c:spPr>
          <c:invertIfNegative val="0"/>
          <c:dLbls>
            <c:dLbl>
              <c:idx val="2"/>
              <c:tx>
                <c:rich>
                  <a:bodyPr/>
                  <a:lstStyle/>
                  <a:p>
                    <a:pPr>
                      <a:defRPr sz="800" b="1">
                        <a:solidFill>
                          <a:srgbClr val="FF0000"/>
                        </a:solidFill>
                      </a:defRPr>
                    </a:pPr>
                    <a:r>
                      <a:rPr lang="en-US"/>
                      <a:t>23,9*</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'nuovo bda con bimbi'!$P$36:$P$38</c:f>
              <c:strCache>
                <c:ptCount val="3"/>
                <c:pt idx="0">
                  <c:v>CREMA</c:v>
                </c:pt>
                <c:pt idx="1">
                  <c:v>CREMONA</c:v>
                </c:pt>
                <c:pt idx="2">
                  <c:v>MANTOVA</c:v>
                </c:pt>
              </c:strCache>
            </c:strRef>
          </c:cat>
          <c:val>
            <c:numRef>
              <c:f>'nuovo bda con bimbi'!$Q$36:$Q$38</c:f>
              <c:numCache>
                <c:formatCode>0.0</c:formatCode>
                <c:ptCount val="3"/>
                <c:pt idx="0">
                  <c:v>9.9500000000000028</c:v>
                </c:pt>
                <c:pt idx="1">
                  <c:v>11.56</c:v>
                </c:pt>
                <c:pt idx="2">
                  <c:v>23.87</c:v>
                </c:pt>
              </c:numCache>
            </c:numRef>
          </c:val>
        </c:ser>
        <c:ser>
          <c:idx val="1"/>
          <c:order val="1"/>
          <c:tx>
            <c:strRef>
              <c:f>'nuovo bda con bimbi'!$R$35</c:f>
              <c:strCache>
                <c:ptCount val="1"/>
                <c:pt idx="0">
                  <c:v>M</c:v>
                </c:pt>
              </c:strCache>
            </c:strRef>
          </c:tx>
          <c:spPr>
            <a:solidFill>
              <a:srgbClr val="0066FF"/>
            </a:solidFill>
          </c:spPr>
          <c:invertIfNegative val="0"/>
          <c:dLbls>
            <c:dLbl>
              <c:idx val="2"/>
              <c:tx>
                <c:rich>
                  <a:bodyPr/>
                  <a:lstStyle/>
                  <a:p>
                    <a:pPr>
                      <a:defRPr sz="800" b="1">
                        <a:solidFill>
                          <a:srgbClr val="FF0000"/>
                        </a:solidFill>
                      </a:defRPr>
                    </a:pPr>
                    <a:r>
                      <a:rPr lang="en-US"/>
                      <a:t>36,3*</a:t>
                    </a:r>
                  </a:p>
                </c:rich>
              </c:tx>
              <c:spPr>
                <a:noFill/>
                <a:ln>
                  <a:noFill/>
                </a:ln>
                <a:effectLst/>
              </c:spPr>
              <c:showLegendKey val="0"/>
              <c:showVal val="1"/>
              <c:showCatName val="0"/>
              <c:showSerName val="0"/>
              <c:showPercent val="0"/>
              <c:showBubbleSize val="0"/>
            </c:dLbl>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'nuovo bda con bimbi'!$P$36:$P$38</c:f>
              <c:strCache>
                <c:ptCount val="3"/>
                <c:pt idx="0">
                  <c:v>CREMA</c:v>
                </c:pt>
                <c:pt idx="1">
                  <c:v>CREMONA</c:v>
                </c:pt>
                <c:pt idx="2">
                  <c:v>MANTOVA</c:v>
                </c:pt>
              </c:strCache>
            </c:strRef>
          </c:cat>
          <c:val>
            <c:numRef>
              <c:f>'nuovo bda con bimbi'!$R$36:$R$38</c:f>
              <c:numCache>
                <c:formatCode>0.0</c:formatCode>
                <c:ptCount val="3"/>
                <c:pt idx="0">
                  <c:v>20.650000000000027</c:v>
                </c:pt>
                <c:pt idx="1">
                  <c:v>22.35</c:v>
                </c:pt>
                <c:pt idx="2">
                  <c:v>36.28</c:v>
                </c:pt>
              </c:numCache>
            </c:numRef>
          </c:val>
        </c:ser>
        <c:dLbls>
          <c:showLegendKey val="0"/>
          <c:showVal val="0"/>
          <c:showCatName val="0"/>
          <c:showSerName val="0"/>
          <c:showPercent val="0"/>
          <c:showBubbleSize val="0"/>
        </c:dLbls>
        <c:gapWidth val="150"/>
        <c:shape val="box"/>
        <c:axId val="253096704"/>
        <c:axId val="253098240"/>
        <c:axId val="0"/>
      </c:bar3DChart>
      <c:catAx>
        <c:axId val="253096704"/>
        <c:scaling>
          <c:orientation val="minMax"/>
        </c:scaling>
        <c:delete val="0"/>
        <c:axPos val="l"/>
        <c:numFmt formatCode="General" sourceLinked="0"/>
        <c:majorTickMark val="none"/>
        <c:minorTickMark val="none"/>
        <c:tickLblPos val="nextTo"/>
        <c:txPr>
          <a:bodyPr/>
          <a:lstStyle/>
          <a:p>
            <a:pPr>
              <a:defRPr sz="800" b="1"/>
            </a:pPr>
            <a:endParaRPr lang="it-IT"/>
          </a:p>
        </c:txPr>
        <c:crossAx val="253098240"/>
        <c:crosses val="autoZero"/>
        <c:auto val="1"/>
        <c:lblAlgn val="ctr"/>
        <c:lblOffset val="100"/>
        <c:noMultiLvlLbl val="0"/>
      </c:catAx>
      <c:valAx>
        <c:axId val="2530982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3096704"/>
        <c:crosses val="autoZero"/>
        <c:crossBetween val="between"/>
      </c:valAx>
    </c:plotArea>
    <c:plotVisOnly val="1"/>
    <c:dispBlanksAs val="gap"/>
    <c:showDLblsOverMax val="0"/>
  </c:chart>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Nati pretermine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spPr>
            <a:solidFill>
              <a:srgbClr val="FF3300"/>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'eventi avversi 10-14'!$A$4:$A$6</c:f>
              <c:strCache>
                <c:ptCount val="3"/>
                <c:pt idx="0">
                  <c:v>CREMA</c:v>
                </c:pt>
                <c:pt idx="1">
                  <c:v>CREMONA</c:v>
                </c:pt>
                <c:pt idx="2">
                  <c:v>MANTOVA</c:v>
                </c:pt>
              </c:strCache>
            </c:strRef>
          </c:cat>
          <c:val>
            <c:numRef>
              <c:f>'eventi avversi 10-14'!$D$4:$D$6</c:f>
              <c:numCache>
                <c:formatCode>0.0</c:formatCode>
                <c:ptCount val="3"/>
                <c:pt idx="0">
                  <c:v>73.292620000000113</c:v>
                </c:pt>
                <c:pt idx="1">
                  <c:v>85.16301</c:v>
                </c:pt>
                <c:pt idx="2">
                  <c:v>67.16634999999998</c:v>
                </c:pt>
              </c:numCache>
            </c:numRef>
          </c:val>
        </c:ser>
        <c:dLbls>
          <c:showLegendKey val="0"/>
          <c:showVal val="0"/>
          <c:showCatName val="0"/>
          <c:showSerName val="0"/>
          <c:showPercent val="0"/>
          <c:showBubbleSize val="0"/>
        </c:dLbls>
        <c:gapWidth val="150"/>
        <c:shape val="box"/>
        <c:axId val="253397632"/>
        <c:axId val="253530496"/>
        <c:axId val="0"/>
      </c:bar3DChart>
      <c:catAx>
        <c:axId val="253397632"/>
        <c:scaling>
          <c:orientation val="minMax"/>
        </c:scaling>
        <c:delete val="0"/>
        <c:axPos val="l"/>
        <c:majorTickMark val="none"/>
        <c:minorTickMark val="none"/>
        <c:tickLblPos val="nextTo"/>
        <c:txPr>
          <a:bodyPr/>
          <a:lstStyle/>
          <a:p>
            <a:pPr>
              <a:defRPr sz="800" b="1"/>
            </a:pPr>
            <a:endParaRPr lang="it-IT"/>
          </a:p>
        </c:txPr>
        <c:crossAx val="253530496"/>
        <c:crosses val="autoZero"/>
        <c:auto val="1"/>
        <c:lblAlgn val="ctr"/>
        <c:lblOffset val="100"/>
        <c:noMultiLvlLbl val="0"/>
      </c:catAx>
      <c:valAx>
        <c:axId val="25353049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3397632"/>
        <c:crosses val="autoZero"/>
        <c:crossBetween val="between"/>
      </c:valAx>
    </c:plotArea>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Nati sottopeso</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3883573928258969"/>
          <c:y val="0.17430555555555555"/>
          <c:w val="0.79897681539807675"/>
          <c:h val="0.72360345581802366"/>
        </c:manualLayout>
      </c:layout>
      <c:bar3DChart>
        <c:barDir val="bar"/>
        <c:grouping val="clustered"/>
        <c:varyColors val="0"/>
        <c:ser>
          <c:idx val="0"/>
          <c:order val="0"/>
          <c:spPr>
            <a:solidFill>
              <a:srgbClr val="FF9900"/>
            </a:solidFill>
          </c:spPr>
          <c:invertIfNegative val="0"/>
          <c:dLbls>
            <c:txPr>
              <a:bodyPr/>
              <a:lstStyle/>
              <a:p>
                <a:pPr>
                  <a:defRPr sz="800" b="1" i="0"/>
                </a:pPr>
                <a:endParaRPr lang="it-IT"/>
              </a:p>
            </c:txPr>
            <c:showLegendKey val="0"/>
            <c:showVal val="1"/>
            <c:showCatName val="0"/>
            <c:showSerName val="0"/>
            <c:showPercent val="0"/>
            <c:showBubbleSize val="0"/>
            <c:showLeaderLines val="0"/>
          </c:dLbls>
          <c:cat>
            <c:strRef>
              <c:f>'eventi avversi 10-14'!$A$12:$A$14</c:f>
              <c:strCache>
                <c:ptCount val="3"/>
                <c:pt idx="0">
                  <c:v>CREMA</c:v>
                </c:pt>
                <c:pt idx="1">
                  <c:v>CREMONA</c:v>
                </c:pt>
                <c:pt idx="2">
                  <c:v>MANTOVA</c:v>
                </c:pt>
              </c:strCache>
            </c:strRef>
          </c:cat>
          <c:val>
            <c:numRef>
              <c:f>'eventi avversi 10-14'!$D$12:$D$14</c:f>
              <c:numCache>
                <c:formatCode>0.0</c:formatCode>
                <c:ptCount val="3"/>
                <c:pt idx="0">
                  <c:v>84.119929999999997</c:v>
                </c:pt>
                <c:pt idx="1">
                  <c:v>72.945020000000113</c:v>
                </c:pt>
                <c:pt idx="2">
                  <c:v>73.204970000000003</c:v>
                </c:pt>
              </c:numCache>
            </c:numRef>
          </c:val>
        </c:ser>
        <c:dLbls>
          <c:showLegendKey val="0"/>
          <c:showVal val="0"/>
          <c:showCatName val="0"/>
          <c:showSerName val="0"/>
          <c:showPercent val="0"/>
          <c:showBubbleSize val="0"/>
        </c:dLbls>
        <c:gapWidth val="150"/>
        <c:shape val="box"/>
        <c:axId val="253580032"/>
        <c:axId val="253581568"/>
        <c:axId val="0"/>
      </c:bar3DChart>
      <c:catAx>
        <c:axId val="253580032"/>
        <c:scaling>
          <c:orientation val="minMax"/>
        </c:scaling>
        <c:delete val="0"/>
        <c:axPos val="l"/>
        <c:majorTickMark val="none"/>
        <c:minorTickMark val="none"/>
        <c:tickLblPos val="nextTo"/>
        <c:txPr>
          <a:bodyPr/>
          <a:lstStyle/>
          <a:p>
            <a:pPr>
              <a:defRPr sz="800" b="1"/>
            </a:pPr>
            <a:endParaRPr lang="it-IT"/>
          </a:p>
        </c:txPr>
        <c:crossAx val="253581568"/>
        <c:crosses val="autoZero"/>
        <c:auto val="1"/>
        <c:lblAlgn val="ctr"/>
        <c:lblOffset val="100"/>
        <c:noMultiLvlLbl val="0"/>
      </c:catAx>
      <c:valAx>
        <c:axId val="253581568"/>
        <c:scaling>
          <c:orientation val="minMax"/>
          <c:min val="0"/>
        </c:scaling>
        <c:delete val="0"/>
        <c:axPos val="b"/>
        <c:majorGridlines/>
        <c:numFmt formatCode="0.0" sourceLinked="1"/>
        <c:majorTickMark val="none"/>
        <c:minorTickMark val="none"/>
        <c:tickLblPos val="nextTo"/>
        <c:txPr>
          <a:bodyPr/>
          <a:lstStyle/>
          <a:p>
            <a:pPr>
              <a:defRPr sz="800" b="1"/>
            </a:pPr>
            <a:endParaRPr lang="it-IT"/>
          </a:p>
        </c:txPr>
        <c:crossAx val="253580032"/>
        <c:crosses val="autoZero"/>
        <c:crossBetween val="between"/>
        <c:majorUnit val="25"/>
      </c:valAx>
    </c:plotArea>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Natimortalità</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spPr>
            <a:solidFill>
              <a:srgbClr val="CC0066"/>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'eventi avversi 10-14'!$A$20:$A$22</c:f>
              <c:strCache>
                <c:ptCount val="3"/>
                <c:pt idx="0">
                  <c:v>CREMA</c:v>
                </c:pt>
                <c:pt idx="1">
                  <c:v>CREMONA</c:v>
                </c:pt>
                <c:pt idx="2">
                  <c:v>MANTOVA</c:v>
                </c:pt>
              </c:strCache>
            </c:strRef>
          </c:cat>
          <c:val>
            <c:numRef>
              <c:f>'eventi avversi 10-14'!$D$20:$D$22</c:f>
              <c:numCache>
                <c:formatCode>0.0</c:formatCode>
                <c:ptCount val="3"/>
                <c:pt idx="0">
                  <c:v>2.7762349999999998</c:v>
                </c:pt>
                <c:pt idx="1">
                  <c:v>2.6613440000000002</c:v>
                </c:pt>
                <c:pt idx="2">
                  <c:v>3.6019809999999999</c:v>
                </c:pt>
              </c:numCache>
            </c:numRef>
          </c:val>
        </c:ser>
        <c:dLbls>
          <c:showLegendKey val="0"/>
          <c:showVal val="0"/>
          <c:showCatName val="0"/>
          <c:showSerName val="0"/>
          <c:showPercent val="0"/>
          <c:showBubbleSize val="0"/>
        </c:dLbls>
        <c:gapWidth val="150"/>
        <c:shape val="box"/>
        <c:axId val="253938304"/>
        <c:axId val="254390656"/>
        <c:axId val="0"/>
      </c:bar3DChart>
      <c:catAx>
        <c:axId val="253938304"/>
        <c:scaling>
          <c:orientation val="minMax"/>
        </c:scaling>
        <c:delete val="0"/>
        <c:axPos val="l"/>
        <c:majorTickMark val="none"/>
        <c:minorTickMark val="none"/>
        <c:tickLblPos val="nextTo"/>
        <c:txPr>
          <a:bodyPr/>
          <a:lstStyle/>
          <a:p>
            <a:pPr>
              <a:defRPr sz="800" b="1"/>
            </a:pPr>
            <a:endParaRPr lang="it-IT"/>
          </a:p>
        </c:txPr>
        <c:crossAx val="254390656"/>
        <c:crosses val="autoZero"/>
        <c:auto val="1"/>
        <c:lblAlgn val="ctr"/>
        <c:lblOffset val="100"/>
        <c:noMultiLvlLbl val="0"/>
      </c:catAx>
      <c:valAx>
        <c:axId val="25439065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3938304"/>
        <c:crosses val="autoZero"/>
        <c:crossBetween val="between"/>
      </c:valAx>
    </c:plotArea>
    <c:plotVisOnly val="1"/>
    <c:dispBlanksAs val="gap"/>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entro l'anno di vita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spPr>
            <a:solidFill>
              <a:srgbClr val="00CC00"/>
            </a:solidFill>
          </c:spPr>
          <c:invertIfNegative val="0"/>
          <c:dLbls>
            <c:txPr>
              <a:bodyPr/>
              <a:lstStyle/>
              <a:p>
                <a:pPr>
                  <a:defRPr b="1"/>
                </a:pPr>
                <a:endParaRPr lang="it-IT"/>
              </a:p>
            </c:txPr>
            <c:showLegendKey val="0"/>
            <c:showVal val="1"/>
            <c:showCatName val="0"/>
            <c:showSerName val="0"/>
            <c:showPercent val="0"/>
            <c:showBubbleSize val="0"/>
            <c:showLeaderLines val="0"/>
          </c:dLbls>
          <c:cat>
            <c:strRef>
              <c:f>'eventi avversi 10-14'!$A$34:$A$36</c:f>
              <c:strCache>
                <c:ptCount val="3"/>
                <c:pt idx="0">
                  <c:v>CREMA</c:v>
                </c:pt>
                <c:pt idx="1">
                  <c:v>CREMONA</c:v>
                </c:pt>
                <c:pt idx="2">
                  <c:v>MANTOVA</c:v>
                </c:pt>
              </c:strCache>
            </c:strRef>
          </c:cat>
          <c:val>
            <c:numRef>
              <c:f>'eventi avversi 10-14'!$D$34:$D$36</c:f>
              <c:numCache>
                <c:formatCode>0.0</c:formatCode>
                <c:ptCount val="3"/>
                <c:pt idx="0">
                  <c:v>2.6374240000000002</c:v>
                </c:pt>
                <c:pt idx="1">
                  <c:v>3.0242549999999997</c:v>
                </c:pt>
                <c:pt idx="2">
                  <c:v>2.2247530000000002</c:v>
                </c:pt>
              </c:numCache>
            </c:numRef>
          </c:val>
        </c:ser>
        <c:dLbls>
          <c:showLegendKey val="0"/>
          <c:showVal val="0"/>
          <c:showCatName val="0"/>
          <c:showSerName val="0"/>
          <c:showPercent val="0"/>
          <c:showBubbleSize val="0"/>
        </c:dLbls>
        <c:gapWidth val="150"/>
        <c:shape val="box"/>
        <c:axId val="255394560"/>
        <c:axId val="255396096"/>
        <c:axId val="0"/>
      </c:bar3DChart>
      <c:catAx>
        <c:axId val="255394560"/>
        <c:scaling>
          <c:orientation val="minMax"/>
        </c:scaling>
        <c:delete val="0"/>
        <c:axPos val="l"/>
        <c:majorTickMark val="none"/>
        <c:minorTickMark val="none"/>
        <c:tickLblPos val="nextTo"/>
        <c:txPr>
          <a:bodyPr/>
          <a:lstStyle/>
          <a:p>
            <a:pPr>
              <a:defRPr sz="800" b="1"/>
            </a:pPr>
            <a:endParaRPr lang="it-IT"/>
          </a:p>
        </c:txPr>
        <c:crossAx val="255396096"/>
        <c:crosses val="autoZero"/>
        <c:auto val="1"/>
        <c:lblAlgn val="ctr"/>
        <c:lblOffset val="100"/>
        <c:noMultiLvlLbl val="0"/>
      </c:catAx>
      <c:valAx>
        <c:axId val="25539609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55394560"/>
        <c:crosses val="autoZero"/>
        <c:crossBetween val="between"/>
      </c:valAx>
    </c:plotArea>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Abortività</a:t>
            </a:r>
            <a:r>
              <a:rPr lang="it-IT" sz="1200" baseline="0"/>
              <a:t> Spontanea</a:t>
            </a:r>
            <a:endParaRPr lang="it-IT" sz="1200"/>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spPr>
            <a:solidFill>
              <a:srgbClr val="FFFF00"/>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'eventi avversi 10-14'!$A$27:$A$29</c:f>
              <c:strCache>
                <c:ptCount val="3"/>
                <c:pt idx="0">
                  <c:v>CREMA</c:v>
                </c:pt>
                <c:pt idx="1">
                  <c:v>CREMONA</c:v>
                </c:pt>
                <c:pt idx="2">
                  <c:v>MANTOVA</c:v>
                </c:pt>
              </c:strCache>
            </c:strRef>
          </c:cat>
          <c:val>
            <c:numRef>
              <c:f>'eventi avversi 10-14'!$D$27:$D$29</c:f>
              <c:numCache>
                <c:formatCode>0.0</c:formatCode>
                <c:ptCount val="3"/>
                <c:pt idx="0">
                  <c:v>6.014723</c:v>
                </c:pt>
                <c:pt idx="1">
                  <c:v>5.6212569999999955</c:v>
                </c:pt>
                <c:pt idx="2">
                  <c:v>5.8665269999999916</c:v>
                </c:pt>
              </c:numCache>
            </c:numRef>
          </c:val>
        </c:ser>
        <c:dLbls>
          <c:showLegendKey val="0"/>
          <c:showVal val="0"/>
          <c:showCatName val="0"/>
          <c:showSerName val="0"/>
          <c:showPercent val="0"/>
          <c:showBubbleSize val="0"/>
        </c:dLbls>
        <c:gapWidth val="150"/>
        <c:shape val="box"/>
        <c:axId val="254233216"/>
        <c:axId val="256012672"/>
        <c:axId val="0"/>
      </c:bar3DChart>
      <c:catAx>
        <c:axId val="254233216"/>
        <c:scaling>
          <c:orientation val="minMax"/>
        </c:scaling>
        <c:delete val="0"/>
        <c:axPos val="l"/>
        <c:majorTickMark val="none"/>
        <c:minorTickMark val="none"/>
        <c:tickLblPos val="nextTo"/>
        <c:txPr>
          <a:bodyPr/>
          <a:lstStyle/>
          <a:p>
            <a:pPr>
              <a:defRPr sz="800" b="1"/>
            </a:pPr>
            <a:endParaRPr lang="it-IT"/>
          </a:p>
        </c:txPr>
        <c:crossAx val="256012672"/>
        <c:crosses val="autoZero"/>
        <c:auto val="1"/>
        <c:lblAlgn val="ctr"/>
        <c:lblOffset val="100"/>
        <c:noMultiLvlLbl val="0"/>
      </c:catAx>
      <c:valAx>
        <c:axId val="256012672"/>
        <c:scaling>
          <c:orientation val="minMax"/>
          <c:max val="6.5"/>
          <c:min val="0"/>
        </c:scaling>
        <c:delete val="0"/>
        <c:axPos val="b"/>
        <c:majorGridlines/>
        <c:numFmt formatCode="0.0" sourceLinked="1"/>
        <c:majorTickMark val="none"/>
        <c:minorTickMark val="none"/>
        <c:tickLblPos val="nextTo"/>
        <c:txPr>
          <a:bodyPr/>
          <a:lstStyle/>
          <a:p>
            <a:pPr>
              <a:defRPr sz="800"/>
            </a:pPr>
            <a:endParaRPr lang="it-IT"/>
          </a:p>
        </c:txPr>
        <c:crossAx val="254233216"/>
        <c:crosses val="autoZero"/>
        <c:crossBetween val="between"/>
        <c:majorUnit val="1"/>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Popolazione italiana ATS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PIRAMIDI!$B$159</c:f>
              <c:strCache>
                <c:ptCount val="1"/>
                <c:pt idx="0">
                  <c:v>F</c:v>
                </c:pt>
              </c:strCache>
            </c:strRef>
          </c:tx>
          <c:spPr>
            <a:solidFill>
              <a:srgbClr val="FF66FF"/>
            </a:solidFill>
          </c:spPr>
          <c:invertIfNegative val="0"/>
          <c:cat>
            <c:strRef>
              <c:f>PIRAMIDI!$A$160:$A$179</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PIRAMIDI!$B$160:$B$179</c:f>
              <c:numCache>
                <c:formatCode>0;[Red]0</c:formatCode>
                <c:ptCount val="20"/>
                <c:pt idx="0">
                  <c:v>-11598</c:v>
                </c:pt>
                <c:pt idx="1">
                  <c:v>-13580</c:v>
                </c:pt>
                <c:pt idx="2">
                  <c:v>-13680</c:v>
                </c:pt>
                <c:pt idx="3">
                  <c:v>-13866</c:v>
                </c:pt>
                <c:pt idx="4">
                  <c:v>-13617</c:v>
                </c:pt>
                <c:pt idx="5">
                  <c:v>-13998</c:v>
                </c:pt>
                <c:pt idx="6">
                  <c:v>-15796</c:v>
                </c:pt>
                <c:pt idx="7">
                  <c:v>-20497</c:v>
                </c:pt>
                <c:pt idx="8">
                  <c:v>-25684</c:v>
                </c:pt>
                <c:pt idx="9">
                  <c:v>-26888</c:v>
                </c:pt>
                <c:pt idx="10">
                  <c:v>-27190</c:v>
                </c:pt>
                <c:pt idx="11">
                  <c:v>-24213</c:v>
                </c:pt>
                <c:pt idx="12">
                  <c:v>-22805</c:v>
                </c:pt>
                <c:pt idx="13">
                  <c:v>-24517</c:v>
                </c:pt>
                <c:pt idx="14">
                  <c:v>-19296</c:v>
                </c:pt>
                <c:pt idx="15">
                  <c:v>-20696</c:v>
                </c:pt>
                <c:pt idx="16">
                  <c:v>-16990</c:v>
                </c:pt>
                <c:pt idx="17">
                  <c:v>-12484</c:v>
                </c:pt>
                <c:pt idx="18">
                  <c:v>-6493</c:v>
                </c:pt>
                <c:pt idx="19">
                  <c:v>-1562</c:v>
                </c:pt>
              </c:numCache>
            </c:numRef>
          </c:val>
        </c:ser>
        <c:ser>
          <c:idx val="1"/>
          <c:order val="1"/>
          <c:tx>
            <c:strRef>
              <c:f>PIRAMIDI!$C$159</c:f>
              <c:strCache>
                <c:ptCount val="1"/>
                <c:pt idx="0">
                  <c:v>M</c:v>
                </c:pt>
              </c:strCache>
            </c:strRef>
          </c:tx>
          <c:spPr>
            <a:solidFill>
              <a:srgbClr val="00B0F0"/>
            </a:solidFill>
          </c:spPr>
          <c:invertIfNegative val="0"/>
          <c:cat>
            <c:strRef>
              <c:f>PIRAMIDI!$A$160:$A$179</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PIRAMIDI!$C$160:$C$179</c:f>
              <c:numCache>
                <c:formatCode>General</c:formatCode>
                <c:ptCount val="20"/>
                <c:pt idx="0">
                  <c:v>12738</c:v>
                </c:pt>
                <c:pt idx="1">
                  <c:v>14680</c:v>
                </c:pt>
                <c:pt idx="2">
                  <c:v>14660</c:v>
                </c:pt>
                <c:pt idx="3">
                  <c:v>14910</c:v>
                </c:pt>
                <c:pt idx="4">
                  <c:v>14451</c:v>
                </c:pt>
                <c:pt idx="5">
                  <c:v>14774</c:v>
                </c:pt>
                <c:pt idx="6">
                  <c:v>16905</c:v>
                </c:pt>
                <c:pt idx="7">
                  <c:v>21330</c:v>
                </c:pt>
                <c:pt idx="8">
                  <c:v>27143</c:v>
                </c:pt>
                <c:pt idx="9">
                  <c:v>28644</c:v>
                </c:pt>
                <c:pt idx="10">
                  <c:v>28078</c:v>
                </c:pt>
                <c:pt idx="11">
                  <c:v>24308</c:v>
                </c:pt>
                <c:pt idx="12">
                  <c:v>22172</c:v>
                </c:pt>
                <c:pt idx="13">
                  <c:v>23716</c:v>
                </c:pt>
                <c:pt idx="14">
                  <c:v>16687</c:v>
                </c:pt>
                <c:pt idx="15">
                  <c:v>16480</c:v>
                </c:pt>
                <c:pt idx="16">
                  <c:v>10891</c:v>
                </c:pt>
                <c:pt idx="17">
                  <c:v>5653</c:v>
                </c:pt>
                <c:pt idx="18">
                  <c:v>2041</c:v>
                </c:pt>
                <c:pt idx="19">
                  <c:v>349</c:v>
                </c:pt>
              </c:numCache>
            </c:numRef>
          </c:val>
        </c:ser>
        <c:dLbls>
          <c:showLegendKey val="0"/>
          <c:showVal val="0"/>
          <c:showCatName val="0"/>
          <c:showSerName val="0"/>
          <c:showPercent val="0"/>
          <c:showBubbleSize val="0"/>
        </c:dLbls>
        <c:gapWidth val="6"/>
        <c:gapDepth val="0"/>
        <c:shape val="box"/>
        <c:axId val="219658880"/>
        <c:axId val="219664768"/>
        <c:axId val="0"/>
      </c:bar3DChart>
      <c:catAx>
        <c:axId val="219658880"/>
        <c:scaling>
          <c:orientation val="minMax"/>
        </c:scaling>
        <c:delete val="0"/>
        <c:axPos val="l"/>
        <c:majorTickMark val="none"/>
        <c:minorTickMark val="none"/>
        <c:tickLblPos val="nextTo"/>
        <c:txPr>
          <a:bodyPr/>
          <a:lstStyle/>
          <a:p>
            <a:pPr>
              <a:defRPr sz="600"/>
            </a:pPr>
            <a:endParaRPr lang="it-IT"/>
          </a:p>
        </c:txPr>
        <c:crossAx val="219664768"/>
        <c:crosses val="autoZero"/>
        <c:auto val="1"/>
        <c:lblAlgn val="ctr"/>
        <c:lblOffset val="100"/>
        <c:noMultiLvlLbl val="0"/>
      </c:catAx>
      <c:valAx>
        <c:axId val="219664768"/>
        <c:scaling>
          <c:orientation val="minMax"/>
        </c:scaling>
        <c:delete val="0"/>
        <c:axPos val="b"/>
        <c:majorGridlines>
          <c:spPr>
            <a:ln>
              <a:noFill/>
            </a:ln>
          </c:spPr>
        </c:majorGridlines>
        <c:numFmt formatCode="0;[Red]0" sourceLinked="1"/>
        <c:majorTickMark val="none"/>
        <c:minorTickMark val="none"/>
        <c:tickLblPos val="nextTo"/>
        <c:txPr>
          <a:bodyPr/>
          <a:lstStyle/>
          <a:p>
            <a:pPr>
              <a:defRPr sz="800"/>
            </a:pPr>
            <a:endParaRPr lang="it-IT"/>
          </a:p>
        </c:txPr>
        <c:crossAx val="219658880"/>
        <c:crosses val="autoZero"/>
        <c:crossBetween val="between"/>
      </c:valAx>
      <c:spPr>
        <a:noFill/>
        <a:ln>
          <a:noFill/>
        </a:ln>
      </c:spPr>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H-Tutte le cause</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8732629740594112"/>
          <c:y val="0.12259829840110577"/>
          <c:w val="0.691164440964955"/>
          <c:h val="0.75768221280032388"/>
        </c:manualLayout>
      </c:layout>
      <c:bar3DChart>
        <c:barDir val="bar"/>
        <c:grouping val="clustered"/>
        <c:varyColors val="0"/>
        <c:ser>
          <c:idx val="0"/>
          <c:order val="0"/>
          <c:tx>
            <c:strRef>
              <c:f>'GRAFICI OSPEDALIZZAZIONE'!$Q$53</c:f>
              <c:strCache>
                <c:ptCount val="1"/>
                <c:pt idx="0">
                  <c:v>F</c:v>
                </c:pt>
              </c:strCache>
            </c:strRef>
          </c:tx>
          <c:spPr>
            <a:solidFill>
              <a:srgbClr val="FF66CC"/>
            </a:solidFill>
          </c:spPr>
          <c:invertIfNegative val="0"/>
          <c:dLbls>
            <c:dLbl>
              <c:idx val="0"/>
              <c:spPr/>
              <c:txPr>
                <a:bodyPr/>
                <a:lstStyle/>
                <a:p>
                  <a:pPr>
                    <a:defRPr sz="800" b="1">
                      <a:solidFill>
                        <a:sysClr val="windowText" lastClr="000000"/>
                      </a:solidFill>
                    </a:defRPr>
                  </a:pPr>
                  <a:endParaRPr lang="it-IT"/>
                </a:p>
              </c:txPr>
              <c:showLegendKey val="0"/>
              <c:showVal val="1"/>
              <c:showCatName val="0"/>
              <c:showSerName val="0"/>
              <c:showPercent val="0"/>
              <c:showBubbleSize val="0"/>
            </c:dLbl>
            <c:dLbl>
              <c:idx val="1"/>
              <c:tx>
                <c:rich>
                  <a:bodyPr/>
                  <a:lstStyle/>
                  <a:p>
                    <a:r>
                      <a:rPr lang="en-US"/>
                      <a:t>163,4*</a:t>
                    </a:r>
                  </a:p>
                </c:rich>
              </c:tx>
              <c:showLegendKey val="0"/>
              <c:showVal val="1"/>
              <c:showCatName val="0"/>
              <c:showSerName val="0"/>
              <c:showPercent val="0"/>
              <c:showBubbleSize val="0"/>
            </c:dLbl>
            <c:dLbl>
              <c:idx val="2"/>
              <c:spPr/>
              <c:txPr>
                <a:bodyPr/>
                <a:lstStyle/>
                <a:p>
                  <a:pPr>
                    <a:defRPr sz="800" b="1">
                      <a:solidFill>
                        <a:sysClr val="windowText" lastClr="000000"/>
                      </a:solidFill>
                    </a:defRPr>
                  </a:pPr>
                  <a:endParaRPr lang="it-IT"/>
                </a:p>
              </c:txPr>
              <c:showLegendKey val="0"/>
              <c:showVal val="1"/>
              <c:showCatName val="0"/>
              <c:showSerName val="0"/>
              <c:showPercent val="0"/>
              <c:showBubbleSize val="0"/>
            </c:dLbl>
            <c:txPr>
              <a:bodyPr/>
              <a:lstStyle/>
              <a:p>
                <a:pPr>
                  <a:defRPr sz="800" b="1">
                    <a:solidFill>
                      <a:srgbClr val="FF0000"/>
                    </a:solidFill>
                  </a:defRPr>
                </a:pPr>
                <a:endParaRPr lang="it-IT"/>
              </a:p>
            </c:txPr>
            <c:showLegendKey val="0"/>
            <c:showVal val="1"/>
            <c:showCatName val="0"/>
            <c:showSerName val="0"/>
            <c:showPercent val="0"/>
            <c:showBubbleSize val="0"/>
            <c:showLeaderLines val="0"/>
          </c:dLbls>
          <c:cat>
            <c:strRef>
              <c:f>'GRAFICI OSPEDALIZZAZIONE'!$P$54:$P$56</c:f>
              <c:strCache>
                <c:ptCount val="3"/>
                <c:pt idx="0">
                  <c:v>CREMA</c:v>
                </c:pt>
                <c:pt idx="1">
                  <c:v>CREMONA</c:v>
                </c:pt>
                <c:pt idx="2">
                  <c:v>MANTOVA</c:v>
                </c:pt>
              </c:strCache>
            </c:strRef>
          </c:cat>
          <c:val>
            <c:numRef>
              <c:f>'GRAFICI OSPEDALIZZAZIONE'!$Q$54:$Q$56</c:f>
              <c:numCache>
                <c:formatCode>0.0</c:formatCode>
                <c:ptCount val="3"/>
                <c:pt idx="0">
                  <c:v>153.34</c:v>
                </c:pt>
                <c:pt idx="1">
                  <c:v>163.41999999999999</c:v>
                </c:pt>
                <c:pt idx="2">
                  <c:v>154.83000000000001</c:v>
                </c:pt>
              </c:numCache>
            </c:numRef>
          </c:val>
        </c:ser>
        <c:ser>
          <c:idx val="1"/>
          <c:order val="1"/>
          <c:tx>
            <c:strRef>
              <c:f>'GRAFICI OSPEDALIZZAZIONE'!$R$53</c:f>
              <c:strCache>
                <c:ptCount val="1"/>
                <c:pt idx="0">
                  <c:v>M</c:v>
                </c:pt>
              </c:strCache>
            </c:strRef>
          </c:tx>
          <c:spPr>
            <a:solidFill>
              <a:srgbClr val="0066FF"/>
            </a:solidFill>
          </c:spPr>
          <c:invertIfNegative val="0"/>
          <c:dLbls>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dLbls>
          <c:cat>
            <c:strRef>
              <c:f>'GRAFICI OSPEDALIZZAZIONE'!$P$54:$P$56</c:f>
              <c:strCache>
                <c:ptCount val="3"/>
                <c:pt idx="0">
                  <c:v>CREMA</c:v>
                </c:pt>
                <c:pt idx="1">
                  <c:v>CREMONA</c:v>
                </c:pt>
                <c:pt idx="2">
                  <c:v>MANTOVA</c:v>
                </c:pt>
              </c:strCache>
            </c:strRef>
          </c:cat>
          <c:val>
            <c:numRef>
              <c:f>'GRAFICI OSPEDALIZZAZIONE'!$R$54:$R$56</c:f>
              <c:numCache>
                <c:formatCode>0.0</c:formatCode>
                <c:ptCount val="3"/>
                <c:pt idx="0">
                  <c:v>158.47999999999999</c:v>
                </c:pt>
                <c:pt idx="1">
                  <c:v>174.18</c:v>
                </c:pt>
                <c:pt idx="2">
                  <c:v>153.72999999999999</c:v>
                </c:pt>
              </c:numCache>
            </c:numRef>
          </c:val>
        </c:ser>
        <c:dLbls>
          <c:showLegendKey val="0"/>
          <c:showVal val="0"/>
          <c:showCatName val="0"/>
          <c:showSerName val="0"/>
          <c:showPercent val="0"/>
          <c:showBubbleSize val="0"/>
        </c:dLbls>
        <c:gapWidth val="150"/>
        <c:shape val="box"/>
        <c:axId val="220723840"/>
        <c:axId val="220746112"/>
        <c:axId val="0"/>
      </c:bar3DChart>
      <c:catAx>
        <c:axId val="220723840"/>
        <c:scaling>
          <c:orientation val="minMax"/>
        </c:scaling>
        <c:delete val="0"/>
        <c:axPos val="l"/>
        <c:majorTickMark val="none"/>
        <c:minorTickMark val="none"/>
        <c:tickLblPos val="nextTo"/>
        <c:txPr>
          <a:bodyPr/>
          <a:lstStyle/>
          <a:p>
            <a:pPr>
              <a:defRPr sz="800" b="1"/>
            </a:pPr>
            <a:endParaRPr lang="it-IT"/>
          </a:p>
        </c:txPr>
        <c:crossAx val="220746112"/>
        <c:crosses val="autoZero"/>
        <c:auto val="1"/>
        <c:lblAlgn val="ctr"/>
        <c:lblOffset val="100"/>
        <c:noMultiLvlLbl val="0"/>
      </c:catAx>
      <c:valAx>
        <c:axId val="220746112"/>
        <c:scaling>
          <c:orientation val="minMax"/>
          <c:max val="180"/>
          <c:min val="0"/>
        </c:scaling>
        <c:delete val="0"/>
        <c:axPos val="b"/>
        <c:majorGridlines/>
        <c:numFmt formatCode="0.0" sourceLinked="1"/>
        <c:majorTickMark val="none"/>
        <c:minorTickMark val="none"/>
        <c:tickLblPos val="nextTo"/>
        <c:txPr>
          <a:bodyPr/>
          <a:lstStyle/>
          <a:p>
            <a:pPr>
              <a:defRPr sz="800" b="1"/>
            </a:pPr>
            <a:endParaRPr lang="it-IT"/>
          </a:p>
        </c:txPr>
        <c:crossAx val="220723840"/>
        <c:crosses val="autoZero"/>
        <c:crossBetween val="between"/>
        <c:majorUnit val="60"/>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M-Tutte le cause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x100000'!$Q$58</c:f>
              <c:strCache>
                <c:ptCount val="1"/>
                <c:pt idx="0">
                  <c:v>F</c:v>
                </c:pt>
              </c:strCache>
            </c:strRef>
          </c:tx>
          <c:spPr>
            <a:solidFill>
              <a:srgbClr val="FF66CC"/>
            </a:solidFill>
          </c:spPr>
          <c:invertIfNegative val="0"/>
          <c:dLbls>
            <c:dLbl>
              <c:idx val="0"/>
              <c:tx>
                <c:rich>
                  <a:bodyPr/>
                  <a:lstStyle/>
                  <a:p>
                    <a:pPr>
                      <a:defRPr sz="800" b="1">
                        <a:solidFill>
                          <a:srgbClr val="FF0000"/>
                        </a:solidFill>
                      </a:defRPr>
                    </a:pPr>
                    <a:r>
                      <a:rPr lang="en-US"/>
                      <a:t>884,3*</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'mortalita 2007-2015 x100000'!$P$59:$P$61</c:f>
              <c:strCache>
                <c:ptCount val="3"/>
                <c:pt idx="0">
                  <c:v>CREMA</c:v>
                </c:pt>
                <c:pt idx="1">
                  <c:v>CREMONA</c:v>
                </c:pt>
                <c:pt idx="2">
                  <c:v>MANTOVA</c:v>
                </c:pt>
              </c:strCache>
            </c:strRef>
          </c:cat>
          <c:val>
            <c:numRef>
              <c:f>'mortalita 2007-2015 x100000'!$Q$59:$Q$61</c:f>
              <c:numCache>
                <c:formatCode>0.0</c:formatCode>
                <c:ptCount val="3"/>
                <c:pt idx="0">
                  <c:v>884.29000000000053</c:v>
                </c:pt>
                <c:pt idx="1">
                  <c:v>826.28000000000054</c:v>
                </c:pt>
                <c:pt idx="2">
                  <c:v>814.01</c:v>
                </c:pt>
              </c:numCache>
            </c:numRef>
          </c:val>
        </c:ser>
        <c:ser>
          <c:idx val="1"/>
          <c:order val="1"/>
          <c:tx>
            <c:strRef>
              <c:f>'mortalita 2007-2015 x100000'!$R$58</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'mortalita 2007-2015 x100000'!$P$59:$P$61</c:f>
              <c:strCache>
                <c:ptCount val="3"/>
                <c:pt idx="0">
                  <c:v>CREMA</c:v>
                </c:pt>
                <c:pt idx="1">
                  <c:v>CREMONA</c:v>
                </c:pt>
                <c:pt idx="2">
                  <c:v>MANTOVA</c:v>
                </c:pt>
              </c:strCache>
            </c:strRef>
          </c:cat>
          <c:val>
            <c:numRef>
              <c:f>'mortalita 2007-2015 x100000'!$R$59:$R$61</c:f>
              <c:numCache>
                <c:formatCode>0.0</c:formatCode>
                <c:ptCount val="3"/>
                <c:pt idx="0">
                  <c:v>1322.62</c:v>
                </c:pt>
                <c:pt idx="1">
                  <c:v>1311.83</c:v>
                </c:pt>
                <c:pt idx="2">
                  <c:v>1269.92</c:v>
                </c:pt>
              </c:numCache>
            </c:numRef>
          </c:val>
        </c:ser>
        <c:dLbls>
          <c:showLegendKey val="0"/>
          <c:showVal val="0"/>
          <c:showCatName val="0"/>
          <c:showSerName val="0"/>
          <c:showPercent val="0"/>
          <c:showBubbleSize val="0"/>
        </c:dLbls>
        <c:gapWidth val="150"/>
        <c:shape val="box"/>
        <c:axId val="220973312"/>
        <c:axId val="220979200"/>
        <c:axId val="0"/>
      </c:bar3DChart>
      <c:catAx>
        <c:axId val="220973312"/>
        <c:scaling>
          <c:orientation val="minMax"/>
        </c:scaling>
        <c:delete val="0"/>
        <c:axPos val="l"/>
        <c:majorTickMark val="none"/>
        <c:minorTickMark val="none"/>
        <c:tickLblPos val="nextTo"/>
        <c:txPr>
          <a:bodyPr/>
          <a:lstStyle/>
          <a:p>
            <a:pPr>
              <a:defRPr sz="800" b="1"/>
            </a:pPr>
            <a:endParaRPr lang="it-IT"/>
          </a:p>
        </c:txPr>
        <c:crossAx val="220979200"/>
        <c:crosses val="autoZero"/>
        <c:auto val="1"/>
        <c:lblAlgn val="ctr"/>
        <c:lblOffset val="100"/>
        <c:noMultiLvlLbl val="0"/>
      </c:catAx>
      <c:valAx>
        <c:axId val="22097920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0973312"/>
        <c:crosses val="autoZero"/>
        <c:crossBetween val="between"/>
      </c:valAx>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H- Tutte le cause - 0-14 anni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'GRAFICI OSPEDALIZZAZIONE'!$Q$46</c:f>
              <c:strCache>
                <c:ptCount val="1"/>
                <c:pt idx="0">
                  <c:v>F</c:v>
                </c:pt>
              </c:strCache>
            </c:strRef>
          </c:tx>
          <c:spPr>
            <a:solidFill>
              <a:srgbClr val="FF66CC"/>
            </a:solidFill>
          </c:spPr>
          <c:invertIfNegative val="0"/>
          <c:dLbls>
            <c:dLbl>
              <c:idx val="1"/>
              <c:tx>
                <c:rich>
                  <a:bodyPr/>
                  <a:lstStyle/>
                  <a:p>
                    <a:pPr>
                      <a:defRPr sz="800" b="1">
                        <a:solidFill>
                          <a:srgbClr val="FF0000"/>
                        </a:solidFill>
                      </a:defRPr>
                    </a:pPr>
                    <a:r>
                      <a:rPr lang="en-US"/>
                      <a:t>93,6*</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OSPEDALIZZAZIONE'!$P$47:$P$49</c:f>
              <c:strCache>
                <c:ptCount val="3"/>
                <c:pt idx="0">
                  <c:v>CREMA</c:v>
                </c:pt>
                <c:pt idx="1">
                  <c:v>CREMONA</c:v>
                </c:pt>
                <c:pt idx="2">
                  <c:v>MANTOVA</c:v>
                </c:pt>
              </c:strCache>
            </c:strRef>
          </c:cat>
          <c:val>
            <c:numRef>
              <c:f>'GRAFICI OSPEDALIZZAZIONE'!$Q$47:$Q$49</c:f>
              <c:numCache>
                <c:formatCode>0.0</c:formatCode>
                <c:ptCount val="3"/>
                <c:pt idx="0">
                  <c:v>82.960000000000022</c:v>
                </c:pt>
                <c:pt idx="1">
                  <c:v>93.58</c:v>
                </c:pt>
                <c:pt idx="2">
                  <c:v>81.489999999999995</c:v>
                </c:pt>
              </c:numCache>
            </c:numRef>
          </c:val>
        </c:ser>
        <c:ser>
          <c:idx val="1"/>
          <c:order val="1"/>
          <c:tx>
            <c:strRef>
              <c:f>'GRAFICI OSPEDALIZZAZIONE'!$R$46</c:f>
              <c:strCache>
                <c:ptCount val="1"/>
                <c:pt idx="0">
                  <c:v>M</c:v>
                </c:pt>
              </c:strCache>
            </c:strRef>
          </c:tx>
          <c:spPr>
            <a:solidFill>
              <a:srgbClr val="0066FF"/>
            </a:solidFill>
          </c:spPr>
          <c:invertIfNegative val="0"/>
          <c:dLbls>
            <c:dLbl>
              <c:idx val="0"/>
              <c:spPr/>
              <c:txPr>
                <a:bodyPr/>
                <a:lstStyle/>
                <a:p>
                  <a:pPr>
                    <a:defRPr sz="800" b="1">
                      <a:solidFill>
                        <a:sysClr val="windowText" lastClr="000000"/>
                      </a:solidFill>
                    </a:defRPr>
                  </a:pPr>
                  <a:endParaRPr lang="it-IT"/>
                </a:p>
              </c:txPr>
              <c:showLegendKey val="0"/>
              <c:showVal val="1"/>
              <c:showCatName val="0"/>
              <c:showSerName val="0"/>
              <c:showPercent val="0"/>
              <c:showBubbleSize val="0"/>
            </c:dLbl>
            <c:dLbl>
              <c:idx val="1"/>
              <c:tx>
                <c:rich>
                  <a:bodyPr/>
                  <a:lstStyle/>
                  <a:p>
                    <a:pPr>
                      <a:defRPr sz="800" b="1">
                        <a:solidFill>
                          <a:srgbClr val="FF0000"/>
                        </a:solidFill>
                      </a:defRPr>
                    </a:pPr>
                    <a:r>
                      <a:rPr lang="en-US"/>
                      <a:t>118,2*</a:t>
                    </a:r>
                  </a:p>
                </c:rich>
              </c:tx>
              <c:spPr/>
              <c:showLegendKey val="0"/>
              <c:showVal val="1"/>
              <c:showCatName val="0"/>
              <c:showSerName val="0"/>
              <c:showPercent val="0"/>
              <c:showBubbleSize val="0"/>
            </c:dLbl>
            <c:txPr>
              <a:bodyPr/>
              <a:lstStyle/>
              <a:p>
                <a:pPr>
                  <a:defRPr sz="800" b="1"/>
                </a:pPr>
                <a:endParaRPr lang="it-IT"/>
              </a:p>
            </c:txPr>
            <c:showLegendKey val="0"/>
            <c:showVal val="1"/>
            <c:showCatName val="0"/>
            <c:showSerName val="0"/>
            <c:showPercent val="0"/>
            <c:showBubbleSize val="0"/>
            <c:showLeaderLines val="0"/>
          </c:dLbls>
          <c:cat>
            <c:strRef>
              <c:f>'GRAFICI OSPEDALIZZAZIONE'!$P$47:$P$49</c:f>
              <c:strCache>
                <c:ptCount val="3"/>
                <c:pt idx="0">
                  <c:v>CREMA</c:v>
                </c:pt>
                <c:pt idx="1">
                  <c:v>CREMONA</c:v>
                </c:pt>
                <c:pt idx="2">
                  <c:v>MANTOVA</c:v>
                </c:pt>
              </c:strCache>
            </c:strRef>
          </c:cat>
          <c:val>
            <c:numRef>
              <c:f>'GRAFICI OSPEDALIZZAZIONE'!$R$47:$R$49</c:f>
              <c:numCache>
                <c:formatCode>0.0</c:formatCode>
                <c:ptCount val="3"/>
                <c:pt idx="0">
                  <c:v>101.85</c:v>
                </c:pt>
                <c:pt idx="1">
                  <c:v>118.23</c:v>
                </c:pt>
                <c:pt idx="2">
                  <c:v>103.04</c:v>
                </c:pt>
              </c:numCache>
            </c:numRef>
          </c:val>
        </c:ser>
        <c:dLbls>
          <c:showLegendKey val="0"/>
          <c:showVal val="0"/>
          <c:showCatName val="0"/>
          <c:showSerName val="0"/>
          <c:showPercent val="0"/>
          <c:showBubbleSize val="0"/>
        </c:dLbls>
        <c:gapWidth val="150"/>
        <c:shape val="box"/>
        <c:axId val="221203072"/>
        <c:axId val="221208960"/>
        <c:axId val="0"/>
      </c:bar3DChart>
      <c:catAx>
        <c:axId val="221203072"/>
        <c:scaling>
          <c:orientation val="minMax"/>
        </c:scaling>
        <c:delete val="0"/>
        <c:axPos val="l"/>
        <c:majorTickMark val="none"/>
        <c:minorTickMark val="none"/>
        <c:tickLblPos val="nextTo"/>
        <c:txPr>
          <a:bodyPr/>
          <a:lstStyle/>
          <a:p>
            <a:pPr>
              <a:defRPr sz="800" b="1"/>
            </a:pPr>
            <a:endParaRPr lang="it-IT"/>
          </a:p>
        </c:txPr>
        <c:crossAx val="221208960"/>
        <c:crosses val="autoZero"/>
        <c:auto val="1"/>
        <c:lblAlgn val="ctr"/>
        <c:lblOffset val="100"/>
        <c:noMultiLvlLbl val="0"/>
      </c:catAx>
      <c:valAx>
        <c:axId val="22120896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221203072"/>
        <c:crosses val="autoZero"/>
        <c:crossBetween val="between"/>
        <c:majorUnit val="25"/>
      </c:valAx>
    </c:plotArea>
    <c:plotVisOnly val="1"/>
    <c:dispBlanksAs val="gap"/>
    <c:showDLblsOverMax val="0"/>
  </c:chart>
  <c:externalData r:id="rId2">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79AD3E-5E76-432A-A7A2-2F8FBEA08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2438</Words>
  <Characters>13897</Characters>
  <Application>Microsoft Office Word</Application>
  <DocSecurity>0</DocSecurity>
  <Lines>115</Lines>
  <Paragraphs>32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PIRONI VANDA</dc:creator>
  <cp:lastModifiedBy>PIRONI VANDA</cp:lastModifiedBy>
  <cp:revision>2</cp:revision>
  <cp:lastPrinted>2016-09-26T10:39:00Z</cp:lastPrinted>
  <dcterms:created xsi:type="dcterms:W3CDTF">2016-09-26T13:40:00Z</dcterms:created>
  <dcterms:modified xsi:type="dcterms:W3CDTF">2016-09-26T13:40:00Z</dcterms:modified>
</cp:coreProperties>
</file>