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theme/themeOverride5.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theme/themeOverride6.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theme/themeOverride7.xml" ContentType="application/vnd.openxmlformats-officedocument.themeOverride+xml"/>
  <Override PartName="/word/charts/chart41.xml" ContentType="application/vnd.openxmlformats-officedocument.drawingml.chart+xml"/>
  <Override PartName="/word/charts/chart42.xml" ContentType="application/vnd.openxmlformats-officedocument.drawingml.chart+xml"/>
  <Override PartName="/word/theme/themeOverride8.xml" ContentType="application/vnd.openxmlformats-officedocument.themeOverride+xml"/>
  <Override PartName="/word/charts/chart43.xml" ContentType="application/vnd.openxmlformats-officedocument.drawingml.chart+xml"/>
  <Override PartName="/word/theme/themeOverride9.xml" ContentType="application/vnd.openxmlformats-officedocument.themeOverride+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theme/themeOverride10.xml" ContentType="application/vnd.openxmlformats-officedocument.themeOverride+xml"/>
  <Override PartName="/word/charts/chart54.xml" ContentType="application/vnd.openxmlformats-officedocument.drawingml.chart+xml"/>
  <Override PartName="/word/theme/themeOverride11.xml" ContentType="application/vnd.openxmlformats-officedocument.themeOverride+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theme/themeOverride12.xml" ContentType="application/vnd.openxmlformats-officedocument.themeOverride+xml"/>
  <Override PartName="/word/charts/chart63.xml" ContentType="application/vnd.openxmlformats-officedocument.drawingml.chart+xml"/>
  <Override PartName="/word/theme/themeOverride13.xml" ContentType="application/vnd.openxmlformats-officedocument.themeOverride+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theme/themeOverride14.xml" ContentType="application/vnd.openxmlformats-officedocument.themeOverride+xml"/>
  <Override PartName="/word/charts/chart69.xml" ContentType="application/vnd.openxmlformats-officedocument.drawingml.chart+xml"/>
  <Override PartName="/word/theme/themeOverride15.xml" ContentType="application/vnd.openxmlformats-officedocument.themeOverride+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theme/themeOverride16.xml" ContentType="application/vnd.openxmlformats-officedocument.themeOverride+xml"/>
  <Override PartName="/word/charts/chart75.xml" ContentType="application/vnd.openxmlformats-officedocument.drawingml.chart+xml"/>
  <Override PartName="/word/theme/themeOverride17.xml" ContentType="application/vnd.openxmlformats-officedocument.themeOverride+xml"/>
  <Override PartName="/word/charts/chart76.xml" ContentType="application/vnd.openxmlformats-officedocument.drawingml.chart+xml"/>
  <Override PartName="/word/theme/themeOverride18.xml" ContentType="application/vnd.openxmlformats-officedocument.themeOverride+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theme/themeOverride19.xml" ContentType="application/vnd.openxmlformats-officedocument.themeOverride+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theme/themeOverride20.xml" ContentType="application/vnd.openxmlformats-officedocument.themeOverride+xml"/>
  <Override PartName="/word/charts/chart87.xml" ContentType="application/vnd.openxmlformats-officedocument.drawingml.chart+xml"/>
  <Override PartName="/word/footer1.xml" ContentType="application/vnd.openxmlformats-officedocument.wordprocessingml.footer+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1670" w:rsidRPr="00185D62" w:rsidRDefault="00941670" w:rsidP="004D2786">
      <w:pPr>
        <w:pStyle w:val="Nessunaspaziatura"/>
        <w:jc w:val="both"/>
        <w:rPr>
          <w:b/>
          <w:i/>
        </w:rPr>
      </w:pPr>
      <w:bookmarkStart w:id="0" w:name="_GoBack"/>
      <w:bookmarkEnd w:id="0"/>
      <w:r w:rsidRPr="00185D62">
        <w:rPr>
          <w:b/>
          <w:i/>
        </w:rPr>
        <w:t>CONTESTO EPIDEMIOLOGICO DEL PIANO INTEGRATO LOCALE DI PROMOSZIONE DELLA SALUTE</w:t>
      </w:r>
    </w:p>
    <w:p w:rsidR="00941670" w:rsidRDefault="00941670" w:rsidP="004D2786">
      <w:pPr>
        <w:pStyle w:val="Nessunaspaziatura"/>
        <w:jc w:val="both"/>
        <w:rPr>
          <w:b/>
        </w:rPr>
      </w:pPr>
    </w:p>
    <w:p w:rsidR="00433DB4" w:rsidRPr="00E37122" w:rsidRDefault="00CC61A1" w:rsidP="004D2786">
      <w:pPr>
        <w:pStyle w:val="Nessunaspaziatura"/>
        <w:jc w:val="both"/>
        <w:rPr>
          <w:b/>
        </w:rPr>
      </w:pPr>
      <w:r w:rsidRPr="00E37122">
        <w:rPr>
          <w:b/>
        </w:rPr>
        <w:t>APPROCCIO METODOLOGICO</w:t>
      </w:r>
    </w:p>
    <w:p w:rsidR="00433DB4" w:rsidRPr="00E37122" w:rsidRDefault="00433DB4" w:rsidP="004D2786">
      <w:pPr>
        <w:pStyle w:val="Nessunaspaziatura"/>
        <w:jc w:val="both"/>
        <w:rPr>
          <w:b/>
        </w:rPr>
      </w:pPr>
    </w:p>
    <w:p w:rsidR="000C3EEB" w:rsidRPr="00E37122" w:rsidRDefault="004D2786" w:rsidP="004D2786">
      <w:pPr>
        <w:pStyle w:val="Nessunaspaziatura"/>
        <w:jc w:val="both"/>
      </w:pPr>
      <w:r w:rsidRPr="00E37122">
        <w:t xml:space="preserve">La descrizione dello stato di salute della popolazione  </w:t>
      </w:r>
      <w:r w:rsidR="004C1F06" w:rsidRPr="00E37122">
        <w:t xml:space="preserve">è </w:t>
      </w:r>
      <w:r w:rsidRPr="00E37122">
        <w:t>stata condotta in modo comparativo sui 3 macro-distretti della A</w:t>
      </w:r>
      <w:r w:rsidR="00E37122">
        <w:t>TS</w:t>
      </w:r>
      <w:r w:rsidRPr="00E37122">
        <w:t xml:space="preserve">: </w:t>
      </w:r>
      <w:r w:rsidR="00EB54BB" w:rsidRPr="00E37122">
        <w:t>Crema, Cremona e Mantova</w:t>
      </w:r>
      <w:r w:rsidRPr="00E37122">
        <w:t>. Ciò allo scopo di cogliere eventuali apprezzabili differenze territoriali in grado di meglio orientare l’attività istituzionale di promozione e prevenzione della salute a maggior impatto</w:t>
      </w:r>
      <w:r w:rsidR="004C1F06" w:rsidRPr="00E37122">
        <w:t xml:space="preserve"> specifico</w:t>
      </w:r>
      <w:r w:rsidR="000C3EEB" w:rsidRPr="00E37122">
        <w:t>, intendendo per la prima il rafforzamento delle capacità di sostenere la propria salute e per la seconda la capacità di ridurre i fattori di rischio.</w:t>
      </w:r>
    </w:p>
    <w:p w:rsidR="004D2786" w:rsidRPr="00E37122" w:rsidRDefault="004D2786" w:rsidP="004D2786">
      <w:pPr>
        <w:pStyle w:val="Nessunaspaziatura"/>
        <w:jc w:val="both"/>
      </w:pPr>
      <w:r w:rsidRPr="00E37122">
        <w:t>Gli indicatori di salute esaminati costituiscono soltanto una parte del tutto, ma la loro selezione è avvenuta sulla base di criteri funzionali allo scopo di cui in premessa.</w:t>
      </w:r>
    </w:p>
    <w:p w:rsidR="004D2786" w:rsidRPr="00E37122" w:rsidRDefault="004D2786" w:rsidP="004D2786">
      <w:pPr>
        <w:pStyle w:val="Nessunaspaziatura"/>
        <w:jc w:val="both"/>
      </w:pPr>
      <w:r w:rsidRPr="00E37122">
        <w:t>Solitamente un indicat</w:t>
      </w:r>
      <w:r w:rsidR="000C3EEB" w:rsidRPr="00E37122">
        <w:t>ore è fornito di un valore in sé</w:t>
      </w:r>
      <w:r w:rsidRPr="00E37122">
        <w:t xml:space="preserve">, </w:t>
      </w:r>
      <w:r w:rsidR="004C1F06" w:rsidRPr="00E37122">
        <w:t xml:space="preserve">quindi </w:t>
      </w:r>
      <w:r w:rsidRPr="00E37122">
        <w:t>puntu</w:t>
      </w:r>
      <w:r w:rsidR="004C1F06" w:rsidRPr="00E37122">
        <w:t xml:space="preserve">ale e limitato, </w:t>
      </w:r>
      <w:r w:rsidRPr="00E37122">
        <w:t>ma, nella misura in cui, attraverso l’interpretazione sostenuta dalla letteratura scientifi</w:t>
      </w:r>
      <w:r w:rsidR="00960A7C">
        <w:t>ca,</w:t>
      </w:r>
      <w:r w:rsidRPr="00E37122">
        <w:t xml:space="preserve"> viene collegato ad altri,</w:t>
      </w:r>
      <w:r w:rsidR="00960A7C">
        <w:t xml:space="preserve"> concorre a </w:t>
      </w:r>
      <w:r w:rsidRPr="00E37122">
        <w:t>cogli</w:t>
      </w:r>
      <w:r w:rsidR="00960A7C">
        <w:t>ere non solo muti fatti isolati</w:t>
      </w:r>
      <w:r w:rsidRPr="00E37122">
        <w:t xml:space="preserve"> ma fenomeni dotati di senso.</w:t>
      </w:r>
    </w:p>
    <w:p w:rsidR="000C3EEB" w:rsidRPr="00E37122" w:rsidRDefault="000C3EEB" w:rsidP="004D2786">
      <w:pPr>
        <w:pStyle w:val="Nessunaspaziatura"/>
        <w:jc w:val="both"/>
      </w:pPr>
      <w:r w:rsidRPr="00E37122">
        <w:t>Per tale ragione</w:t>
      </w:r>
      <w:r w:rsidR="009433DE">
        <w:t>,</w:t>
      </w:r>
      <w:r w:rsidRPr="00E37122">
        <w:t xml:space="preserve"> al metodo analitico, sostenuto dalla disamina isolata e sequenziale dei diversi indicatori, si è preferita una loro lettura integrata per argomento.</w:t>
      </w:r>
    </w:p>
    <w:p w:rsidR="00F42A79" w:rsidRPr="00E37122" w:rsidRDefault="00474336" w:rsidP="004D2786">
      <w:pPr>
        <w:pStyle w:val="Nessunaspaziatura"/>
        <w:jc w:val="both"/>
      </w:pPr>
      <w:r w:rsidRPr="00E37122">
        <w:t xml:space="preserve">Seguendo </w:t>
      </w:r>
      <w:r w:rsidR="004D2786" w:rsidRPr="00E37122">
        <w:t xml:space="preserve"> questo percorso</w:t>
      </w:r>
      <w:r w:rsidRPr="00E37122">
        <w:t>,</w:t>
      </w:r>
      <w:r w:rsidR="004C1F06" w:rsidRPr="00E37122">
        <w:t xml:space="preserve"> è </w:t>
      </w:r>
      <w:r w:rsidR="00960A7C">
        <w:t xml:space="preserve">stato </w:t>
      </w:r>
      <w:r w:rsidR="009433DE">
        <w:t xml:space="preserve">così </w:t>
      </w:r>
      <w:r w:rsidR="004C1F06" w:rsidRPr="00E37122">
        <w:t xml:space="preserve">possibile individuare sia le </w:t>
      </w:r>
      <w:r w:rsidR="004D2786" w:rsidRPr="00E37122">
        <w:t>aree tematiche d’interesse</w:t>
      </w:r>
      <w:r w:rsidR="00F42A79" w:rsidRPr="00E37122">
        <w:t xml:space="preserve"> </w:t>
      </w:r>
      <w:r w:rsidR="004D2786" w:rsidRPr="00E37122">
        <w:t xml:space="preserve"> che i target demografici e sociali sui quali intervenire prioritariamente.</w:t>
      </w:r>
    </w:p>
    <w:p w:rsidR="00D77419" w:rsidRPr="00E37122" w:rsidRDefault="00F42A79" w:rsidP="004D2786">
      <w:pPr>
        <w:pStyle w:val="Nessunaspaziatura"/>
        <w:jc w:val="both"/>
      </w:pPr>
      <w:r w:rsidRPr="00E37122">
        <w:t xml:space="preserve">Le aree tematiche individuate </w:t>
      </w:r>
      <w:r w:rsidR="00417117">
        <w:t xml:space="preserve">costituiscono </w:t>
      </w:r>
      <w:r w:rsidR="00D77419" w:rsidRPr="00E37122">
        <w:t xml:space="preserve">aggregazioni di patologie che maggiormente </w:t>
      </w:r>
      <w:r w:rsidR="00960A7C">
        <w:t xml:space="preserve">si prestano ad </w:t>
      </w:r>
      <w:r w:rsidR="00D77419" w:rsidRPr="00E37122">
        <w:t>essere affrontate con gli strumenti della promozione</w:t>
      </w:r>
      <w:r w:rsidR="00960A7C">
        <w:t xml:space="preserve"> e della prevenzione della salute</w:t>
      </w:r>
      <w:r w:rsidR="00D77419" w:rsidRPr="00E37122">
        <w:t>, quali ad esempio i tumori oggetto di screening programmati, le patologie cardiovascolari, collegate all’alimentazione e al</w:t>
      </w:r>
      <w:r w:rsidR="00960A7C">
        <w:t xml:space="preserve"> fumo di tabacco, i traumatismi</w:t>
      </w:r>
      <w:r w:rsidR="00D77419" w:rsidRPr="00E37122">
        <w:t xml:space="preserve"> riconducibili ad eventi incidentali con dinamiche diversificate p</w:t>
      </w:r>
      <w:r w:rsidR="00417117">
        <w:t>er fasce di età.</w:t>
      </w:r>
    </w:p>
    <w:p w:rsidR="00D77419" w:rsidRPr="00E37122" w:rsidRDefault="00417117" w:rsidP="004D2786">
      <w:pPr>
        <w:pStyle w:val="Nessunaspaziatura"/>
        <w:jc w:val="both"/>
      </w:pPr>
      <w:r>
        <w:t xml:space="preserve">In generale, si è inteso caratterizzare </w:t>
      </w:r>
      <w:r w:rsidR="00231D3D">
        <w:t>alcune di queste come “età pediatrica”, “età giovanile”, “età adulta”, “prima età anziana” e “</w:t>
      </w:r>
      <w:r w:rsidR="00D77419" w:rsidRPr="00E37122">
        <w:t>grandi anziani</w:t>
      </w:r>
      <w:r w:rsidR="00231D3D">
        <w:t>”</w:t>
      </w:r>
      <w:r>
        <w:t xml:space="preserve"> che sono state t</w:t>
      </w:r>
      <w:r w:rsidR="00231D3D">
        <w:t xml:space="preserve">rattate nel </w:t>
      </w:r>
      <w:r>
        <w:t>contesto</w:t>
      </w:r>
      <w:r w:rsidR="00231D3D">
        <w:t xml:space="preserve"> epidemiologico</w:t>
      </w:r>
      <w:r>
        <w:t>.</w:t>
      </w:r>
    </w:p>
    <w:p w:rsidR="0003286A" w:rsidRPr="00E37122" w:rsidRDefault="00417117" w:rsidP="004D2786">
      <w:pPr>
        <w:pStyle w:val="Nessunaspaziatura"/>
        <w:jc w:val="both"/>
      </w:pPr>
      <w:r>
        <w:t>La demografia</w:t>
      </w:r>
      <w:r w:rsidR="0003286A" w:rsidRPr="00E37122">
        <w:t xml:space="preserve">, più che contribuire a descrivere </w:t>
      </w:r>
      <w:r w:rsidR="00A024EC" w:rsidRPr="00E37122">
        <w:t>una piramide ormai nota e consolidata</w:t>
      </w:r>
      <w:r>
        <w:t xml:space="preserve"> nella sua struttura attuale e tendenziale</w:t>
      </w:r>
      <w:r w:rsidR="00A024EC" w:rsidRPr="00E37122">
        <w:t xml:space="preserve">, </w:t>
      </w:r>
      <w:r w:rsidR="00F92A72">
        <w:t xml:space="preserve">appare </w:t>
      </w:r>
      <w:r w:rsidR="00A024EC" w:rsidRPr="00E37122">
        <w:t xml:space="preserve">utile </w:t>
      </w:r>
      <w:r>
        <w:t xml:space="preserve">nel </w:t>
      </w:r>
      <w:r w:rsidR="00A024EC" w:rsidRPr="00E37122">
        <w:t>quantificare i dive</w:t>
      </w:r>
      <w:r w:rsidR="009433DE">
        <w:t>rsi target su cui s’</w:t>
      </w:r>
      <w:r w:rsidR="00A024EC" w:rsidRPr="00E37122">
        <w:t>intende rivolgere l’attività di promozione della salute e di prevenzione delle malattie, nonché delle loro complicanze. Un utilizzo quindi della demografia come indicatore di risorse necessarie per r</w:t>
      </w:r>
      <w:r>
        <w:t>aggiungere obiettivi prefissati</w:t>
      </w:r>
      <w:r w:rsidR="00F92A72">
        <w:t xml:space="preserve"> che per tale ragione è stata collocata</w:t>
      </w:r>
      <w:r>
        <w:t xml:space="preserve"> a fine capitolo.</w:t>
      </w:r>
      <w:r w:rsidR="00A024EC" w:rsidRPr="00E37122">
        <w:t xml:space="preserve"> </w:t>
      </w:r>
    </w:p>
    <w:p w:rsidR="009360E8" w:rsidRPr="00E37122" w:rsidRDefault="008E1F70" w:rsidP="008E1F70">
      <w:pPr>
        <w:pStyle w:val="Nessunaspaziatura"/>
        <w:jc w:val="both"/>
      </w:pPr>
      <w:r w:rsidRPr="00E37122">
        <w:t xml:space="preserve">Costituisce acquisizione consolidata il giudizio che, in </w:t>
      </w:r>
      <w:r w:rsidR="00FB0A46" w:rsidRPr="00E37122">
        <w:t>sanità pubblica</w:t>
      </w:r>
      <w:r w:rsidRPr="00E37122">
        <w:t xml:space="preserve">, la prevenzione risulta tanto più efficace quanto più </w:t>
      </w:r>
      <w:r w:rsidR="00375601">
        <w:t xml:space="preserve">viene anticipata </w:t>
      </w:r>
      <w:r w:rsidR="00FB0A46" w:rsidRPr="00E37122">
        <w:t xml:space="preserve">rispetto agli eventi </w:t>
      </w:r>
      <w:r w:rsidR="00375601">
        <w:t>che s’intendono evitare o controllare</w:t>
      </w:r>
      <w:r w:rsidR="00FB0A46" w:rsidRPr="00E37122">
        <w:t xml:space="preserve">, </w:t>
      </w:r>
      <w:r w:rsidR="00375601">
        <w:t xml:space="preserve">sia che riguardino il singolo che l’ambiente in cui si trova a vivere, </w:t>
      </w:r>
      <w:r w:rsidR="00FB0A46" w:rsidRPr="00E37122">
        <w:t>fino al punto di collocarla</w:t>
      </w:r>
      <w:r w:rsidR="00375601">
        <w:t xml:space="preserve"> il più a monte possibile, cioè </w:t>
      </w:r>
      <w:r w:rsidR="00FB0A46" w:rsidRPr="00E37122">
        <w:t xml:space="preserve"> in fase di progetto. </w:t>
      </w:r>
    </w:p>
    <w:p w:rsidR="009360E8" w:rsidRPr="00E37122" w:rsidRDefault="008E1F70" w:rsidP="008E1F70">
      <w:pPr>
        <w:pStyle w:val="Default"/>
        <w:jc w:val="both"/>
        <w:rPr>
          <w:rFonts w:asciiTheme="minorHAnsi" w:hAnsiTheme="minorHAnsi" w:cstheme="minorBidi"/>
          <w:bCs/>
          <w:color w:val="auto"/>
          <w:kern w:val="24"/>
          <w:sz w:val="22"/>
          <w:szCs w:val="22"/>
        </w:rPr>
      </w:pPr>
      <w:r w:rsidRPr="00E37122">
        <w:rPr>
          <w:rFonts w:asciiTheme="minorHAnsi" w:hAnsiTheme="minorHAnsi" w:cstheme="minorBidi"/>
          <w:bCs/>
          <w:color w:val="auto"/>
          <w:kern w:val="24"/>
          <w:sz w:val="22"/>
          <w:szCs w:val="22"/>
        </w:rPr>
        <w:t xml:space="preserve">La gravidanza </w:t>
      </w:r>
      <w:r w:rsidR="00FB0A46" w:rsidRPr="00E37122">
        <w:rPr>
          <w:rFonts w:asciiTheme="minorHAnsi" w:hAnsiTheme="minorHAnsi" w:cstheme="minorBidi"/>
          <w:bCs/>
          <w:color w:val="auto"/>
          <w:kern w:val="24"/>
          <w:sz w:val="22"/>
          <w:szCs w:val="22"/>
        </w:rPr>
        <w:t xml:space="preserve">si </w:t>
      </w:r>
      <w:r w:rsidR="00F224C1">
        <w:rPr>
          <w:rFonts w:asciiTheme="minorHAnsi" w:hAnsiTheme="minorHAnsi" w:cstheme="minorBidi"/>
          <w:bCs/>
          <w:color w:val="auto"/>
          <w:kern w:val="24"/>
          <w:sz w:val="22"/>
          <w:szCs w:val="22"/>
        </w:rPr>
        <w:t>inserisce</w:t>
      </w:r>
      <w:r w:rsidR="00FB0A46" w:rsidRPr="00E37122">
        <w:rPr>
          <w:rFonts w:asciiTheme="minorHAnsi" w:hAnsiTheme="minorHAnsi" w:cstheme="minorBidi"/>
          <w:bCs/>
          <w:color w:val="auto"/>
          <w:kern w:val="24"/>
          <w:sz w:val="22"/>
          <w:szCs w:val="22"/>
        </w:rPr>
        <w:t xml:space="preserve"> quindi a pieno titolo in questa logica meritando la massima attenzione </w:t>
      </w:r>
      <w:r w:rsidR="009360E8" w:rsidRPr="00E37122">
        <w:rPr>
          <w:rFonts w:asciiTheme="minorHAnsi" w:hAnsiTheme="minorHAnsi" w:cstheme="minorBidi"/>
          <w:bCs/>
          <w:color w:val="auto"/>
          <w:kern w:val="24"/>
          <w:sz w:val="22"/>
          <w:szCs w:val="22"/>
        </w:rPr>
        <w:t>sia nella promozione della salute che</w:t>
      </w:r>
      <w:r w:rsidR="00375601">
        <w:rPr>
          <w:rFonts w:asciiTheme="minorHAnsi" w:hAnsiTheme="minorHAnsi" w:cstheme="minorBidi"/>
          <w:bCs/>
          <w:color w:val="auto"/>
          <w:kern w:val="24"/>
          <w:sz w:val="22"/>
          <w:szCs w:val="22"/>
        </w:rPr>
        <w:t>,</w:t>
      </w:r>
      <w:r w:rsidR="009360E8" w:rsidRPr="00E37122">
        <w:rPr>
          <w:rFonts w:asciiTheme="minorHAnsi" w:hAnsiTheme="minorHAnsi" w:cstheme="minorBidi"/>
          <w:bCs/>
          <w:color w:val="auto"/>
          <w:kern w:val="24"/>
          <w:sz w:val="22"/>
          <w:szCs w:val="22"/>
        </w:rPr>
        <w:t xml:space="preserve"> più in generale</w:t>
      </w:r>
      <w:r w:rsidR="00375601">
        <w:rPr>
          <w:rFonts w:asciiTheme="minorHAnsi" w:hAnsiTheme="minorHAnsi" w:cstheme="minorBidi"/>
          <w:bCs/>
          <w:color w:val="auto"/>
          <w:kern w:val="24"/>
          <w:sz w:val="22"/>
          <w:szCs w:val="22"/>
        </w:rPr>
        <w:t>,</w:t>
      </w:r>
      <w:r w:rsidR="009360E8" w:rsidRPr="00E37122">
        <w:rPr>
          <w:rFonts w:asciiTheme="minorHAnsi" w:hAnsiTheme="minorHAnsi" w:cstheme="minorBidi"/>
          <w:bCs/>
          <w:color w:val="auto"/>
          <w:kern w:val="24"/>
          <w:sz w:val="22"/>
          <w:szCs w:val="22"/>
        </w:rPr>
        <w:t xml:space="preserve"> nelle politiche sanitarie.</w:t>
      </w:r>
      <w:r w:rsidR="00375601">
        <w:rPr>
          <w:rFonts w:asciiTheme="minorHAnsi" w:hAnsiTheme="minorHAnsi" w:cstheme="minorBidi"/>
          <w:bCs/>
          <w:color w:val="auto"/>
          <w:kern w:val="24"/>
          <w:sz w:val="22"/>
          <w:szCs w:val="22"/>
        </w:rPr>
        <w:t xml:space="preserve"> </w:t>
      </w:r>
      <w:r w:rsidR="009360E8" w:rsidRPr="00E37122">
        <w:rPr>
          <w:rFonts w:asciiTheme="minorHAnsi" w:hAnsiTheme="minorHAnsi" w:cstheme="minorBidi"/>
          <w:bCs/>
          <w:color w:val="auto"/>
          <w:kern w:val="24"/>
          <w:sz w:val="22"/>
          <w:szCs w:val="22"/>
        </w:rPr>
        <w:t>Un capitolo specifico sarà quindi dedicato a questo tema.</w:t>
      </w:r>
    </w:p>
    <w:p w:rsidR="004D2786" w:rsidRPr="00E37122" w:rsidRDefault="004D2786" w:rsidP="004D2786">
      <w:pPr>
        <w:pStyle w:val="Nessunaspaziatura"/>
        <w:jc w:val="both"/>
      </w:pPr>
      <w:r w:rsidRPr="00E37122">
        <w:t>Prima però di procedere al confronto interno di cui in premessa, è apparso utile valutare in quale p</w:t>
      </w:r>
      <w:r w:rsidR="004C1F06" w:rsidRPr="00E37122">
        <w:t>osizione si trovassero almeno due indi</w:t>
      </w:r>
      <w:r w:rsidRPr="00E37122">
        <w:t xml:space="preserve">catori </w:t>
      </w:r>
      <w:r w:rsidR="004C1F06" w:rsidRPr="00E37122">
        <w:t>disponibili</w:t>
      </w:r>
      <w:r w:rsidR="00F224C1">
        <w:t xml:space="preserve"> a livello regionale e nazionale</w:t>
      </w:r>
      <w:r w:rsidR="00F42A79" w:rsidRPr="00E37122">
        <w:t>, cioè mortalità e incidenza dei</w:t>
      </w:r>
      <w:r w:rsidR="00F224C1">
        <w:t xml:space="preserve"> </w:t>
      </w:r>
      <w:r w:rsidR="00F42A79" w:rsidRPr="00E37122">
        <w:t>tumori, per un confronto esterno</w:t>
      </w:r>
      <w:r w:rsidRPr="00E37122">
        <w:t xml:space="preserve"> </w:t>
      </w:r>
      <w:r w:rsidR="004C1F06" w:rsidRPr="00E37122">
        <w:t>con la regione/macro-regione di appartenenza oltre che con l’Italia intera.</w:t>
      </w:r>
    </w:p>
    <w:p w:rsidR="004C1F06" w:rsidRPr="00E37122" w:rsidRDefault="004C1F06" w:rsidP="004D2786">
      <w:pPr>
        <w:pStyle w:val="Nessunaspaziatura"/>
        <w:jc w:val="both"/>
      </w:pPr>
      <w:r w:rsidRPr="00E37122">
        <w:t>E’ evidente che un loro mancato allineamento, in difetto o in eccesso, conferisce al valore degli indicatori intra-territoriali (Distretti ATS) ed al profilo che contribuiscono a descrivere un significato molto diverso rispetto alla rilevanza dei fattori di protezione o di rischio presumibilmente in gioco a livello locale.</w:t>
      </w:r>
    </w:p>
    <w:p w:rsidR="0003286A" w:rsidRPr="00E37122" w:rsidRDefault="0003286A" w:rsidP="004D2786">
      <w:pPr>
        <w:pStyle w:val="Nessunaspaziatura"/>
        <w:jc w:val="both"/>
      </w:pPr>
    </w:p>
    <w:p w:rsidR="00D41BB1" w:rsidRPr="00D41BB1" w:rsidRDefault="00D41BB1" w:rsidP="004D2786">
      <w:pPr>
        <w:pStyle w:val="Nessunaspaziatura"/>
        <w:jc w:val="both"/>
        <w:rPr>
          <w:sz w:val="24"/>
          <w:szCs w:val="24"/>
        </w:rPr>
      </w:pPr>
    </w:p>
    <w:p w:rsidR="008B7F2F" w:rsidRPr="008B7F2F" w:rsidRDefault="008B7F2F" w:rsidP="008B7F2F">
      <w:pPr>
        <w:spacing w:after="0"/>
        <w:rPr>
          <w:rFonts w:cs="Arial"/>
          <w:b/>
        </w:rPr>
      </w:pPr>
      <w:r>
        <w:rPr>
          <w:rFonts w:cs="Arial"/>
          <w:b/>
        </w:rPr>
        <w:t xml:space="preserve">Materiali </w:t>
      </w:r>
    </w:p>
    <w:p w:rsidR="008B7F2F" w:rsidRPr="008B7F2F" w:rsidRDefault="008B7F2F" w:rsidP="008B7F2F">
      <w:pPr>
        <w:pStyle w:val="Nessunaspaziatura"/>
        <w:rPr>
          <w:rFonts w:cs="Arial"/>
        </w:rPr>
      </w:pPr>
      <w:r w:rsidRPr="008B7F2F">
        <w:rPr>
          <w:rFonts w:cs="Arial"/>
        </w:rPr>
        <w:t>La descrizione dello stato di salute della popolazione residente si è avvalsa delle seguenti fonti.</w:t>
      </w:r>
    </w:p>
    <w:p w:rsidR="008B7F2F" w:rsidRPr="008B7F2F" w:rsidRDefault="008B7F2F" w:rsidP="008B7F2F">
      <w:pPr>
        <w:pStyle w:val="Nessunaspaziatura"/>
        <w:rPr>
          <w:rFonts w:cs="Arial"/>
        </w:rPr>
      </w:pPr>
      <w:r w:rsidRPr="008B7F2F">
        <w:rPr>
          <w:rFonts w:cs="Arial"/>
          <w:b/>
        </w:rPr>
        <w:t xml:space="preserve">Anagrafe Assistiti. </w:t>
      </w:r>
      <w:r w:rsidRPr="008B7F2F">
        <w:rPr>
          <w:rFonts w:cs="Arial"/>
        </w:rPr>
        <w:t>Raccoglie le variabili socio-anagrafiche di tutti gli assistiti residenti nei comuni dell’ATS, compreso l’indirizzo di residenza/domicilio che consente di operare utili georeferenziazioni. È aggiornata in tempo reale dalle anagrafi comunali con una latenza di circa un mese e concorre ad implementare la Nuova Anagrafe Regionale (NAR).</w:t>
      </w:r>
    </w:p>
    <w:p w:rsidR="00F742D6" w:rsidRDefault="00F742D6" w:rsidP="008B7F2F">
      <w:pPr>
        <w:spacing w:after="0" w:line="240" w:lineRule="auto"/>
        <w:jc w:val="both"/>
        <w:rPr>
          <w:rFonts w:cs="Arial"/>
          <w:b/>
        </w:rPr>
      </w:pPr>
    </w:p>
    <w:p w:rsidR="008B7F2F" w:rsidRPr="008B7F2F" w:rsidRDefault="008B7F2F" w:rsidP="008B7F2F">
      <w:pPr>
        <w:spacing w:after="0" w:line="240" w:lineRule="auto"/>
        <w:jc w:val="both"/>
        <w:rPr>
          <w:rFonts w:eastAsia="Calibri" w:cs="Arial"/>
        </w:rPr>
      </w:pPr>
      <w:r w:rsidRPr="008B7F2F">
        <w:rPr>
          <w:rFonts w:cs="Arial"/>
          <w:b/>
        </w:rPr>
        <w:lastRenderedPageBreak/>
        <w:t xml:space="preserve">Schede di Dimissione Ospedaliera (SDO). </w:t>
      </w:r>
      <w:r w:rsidRPr="008B7F2F">
        <w:rPr>
          <w:rFonts w:cs="Arial"/>
        </w:rPr>
        <w:t>Il</w:t>
      </w:r>
      <w:r w:rsidRPr="008B7F2F">
        <w:rPr>
          <w:rFonts w:cs="Arial"/>
          <w:b/>
        </w:rPr>
        <w:t xml:space="preserve"> </w:t>
      </w:r>
      <w:r w:rsidRPr="008B7F2F">
        <w:rPr>
          <w:rFonts w:eastAsia="Calibri" w:cs="Arial"/>
        </w:rPr>
        <w:t>flusso SDO registra tutti i ricoveri occorsi nella popolazione residente avvenuti nel periodo esaminato in qualsiasi struttura pubblica o privata accreditata dell’intero territorio nazionale. La registrazione comprende diagnosi, interventi, accertamenti e terapie eventualmente effettuati durante il ricovero. Tale flusso ha prodotto l’ospedalizzazione della popolazione nel periodo 2010-2014 espresso come tasso x1000 standardizzato sulla popolazione italiana al censimento 2011, per “tener conto” nel confronto della eventuale diversa distribuzione per classi di età.</w:t>
      </w:r>
    </w:p>
    <w:p w:rsidR="008B7F2F" w:rsidRPr="008B7F2F" w:rsidRDefault="008B7F2F" w:rsidP="008B7F2F">
      <w:pPr>
        <w:spacing w:after="0" w:line="240" w:lineRule="auto"/>
        <w:jc w:val="both"/>
        <w:rPr>
          <w:rFonts w:eastAsia="Calibri" w:cs="Arial"/>
        </w:rPr>
      </w:pPr>
    </w:p>
    <w:p w:rsidR="008B7F2F" w:rsidRPr="008B7F2F" w:rsidRDefault="008B7F2F" w:rsidP="008B7F2F">
      <w:pPr>
        <w:spacing w:after="0" w:line="240" w:lineRule="auto"/>
        <w:jc w:val="both"/>
        <w:rPr>
          <w:rFonts w:eastAsia="Calibri" w:cs="Arial"/>
        </w:rPr>
      </w:pPr>
      <w:r w:rsidRPr="008B7F2F">
        <w:rPr>
          <w:rFonts w:eastAsia="Calibri" w:cs="Arial"/>
          <w:b/>
        </w:rPr>
        <w:t xml:space="preserve">Banca Dati Assistito (BDA). </w:t>
      </w:r>
      <w:r w:rsidRPr="008B7F2F">
        <w:rPr>
          <w:rFonts w:eastAsia="Calibri" w:cs="Arial"/>
        </w:rPr>
        <w:t>La Banca Dati Assistito è un prodotto epidemiologico che raccoglie e riassume tutti i consumi sanitari dei residenti nell’anno di calendario. Tali consumi (ricoveri, prestazioni ambulatoriali, farmaci, riabilitazione, ricoveri in strutture socio- sanitarie ecc.) sono codificati in modo dettagliato, consentendo di mappare le diverse patologie e quindi categorizzare tutti gli assistiti in funzione del stato di salute individuale.  La BDA ha fornito il dato sulla prevalenza al 201</w:t>
      </w:r>
      <w:r>
        <w:rPr>
          <w:rFonts w:eastAsia="Calibri" w:cs="Arial"/>
        </w:rPr>
        <w:t>5</w:t>
      </w:r>
      <w:r w:rsidRPr="008B7F2F">
        <w:rPr>
          <w:rFonts w:eastAsia="Calibri" w:cs="Arial"/>
        </w:rPr>
        <w:t xml:space="preserve"> espresso come tasso x1000 standardizzato sulla popolazione italiana, ancora per “tener conto” nel confronto della eventuale diversa distribuzione per classi di età.</w:t>
      </w:r>
    </w:p>
    <w:p w:rsidR="008B7F2F" w:rsidRPr="008D0F40" w:rsidRDefault="008B7F2F" w:rsidP="008B7F2F">
      <w:pPr>
        <w:spacing w:after="0" w:line="240" w:lineRule="auto"/>
        <w:jc w:val="both"/>
        <w:rPr>
          <w:rFonts w:cs="Arial"/>
        </w:rPr>
      </w:pPr>
      <w:r w:rsidRPr="008B7F2F">
        <w:rPr>
          <w:rFonts w:eastAsia="Calibri" w:cs="Arial"/>
          <w:b/>
        </w:rPr>
        <w:t xml:space="preserve">Registro Tumori. </w:t>
      </w:r>
      <w:r w:rsidRPr="008B7F2F">
        <w:rPr>
          <w:rFonts w:eastAsia="Calibri" w:cs="Arial"/>
        </w:rPr>
        <w:t xml:space="preserve">Il </w:t>
      </w:r>
      <w:r w:rsidRPr="008B7F2F">
        <w:rPr>
          <w:rFonts w:cs="Arial"/>
        </w:rPr>
        <w:t>Registro Tumori ha fornito i tassi di incidenza, cioè il gettito nell’unità di tempo dei nuovi casi di tumore, occorsi nei residenti dell’ATS. Il periodo esaminato è il 2006-2009 per l’ex ASL di Cremona, 2006-2010 per l’ex ASL di Mantova. Il valore espresso è il tasso standardizzato x 100.000</w:t>
      </w:r>
    </w:p>
    <w:p w:rsidR="008B7F2F" w:rsidRPr="008B7F2F" w:rsidRDefault="008B7F2F" w:rsidP="008B7F2F">
      <w:pPr>
        <w:spacing w:after="0" w:line="240" w:lineRule="auto"/>
        <w:jc w:val="both"/>
        <w:rPr>
          <w:rFonts w:eastAsia="Calibri" w:cs="Arial"/>
          <w:b/>
        </w:rPr>
      </w:pPr>
      <w:r w:rsidRPr="008B7F2F">
        <w:rPr>
          <w:rFonts w:eastAsia="Calibri" w:cs="Arial"/>
          <w:b/>
        </w:rPr>
        <w:t>Registro Mortalità.</w:t>
      </w:r>
      <w:r w:rsidRPr="008B7F2F">
        <w:rPr>
          <w:rFonts w:eastAsia="Calibri" w:cs="Arial"/>
        </w:rPr>
        <w:t xml:space="preserve"> Il</w:t>
      </w:r>
      <w:r w:rsidRPr="008B7F2F">
        <w:rPr>
          <w:rFonts w:eastAsia="Calibri" w:cs="Arial"/>
          <w:b/>
        </w:rPr>
        <w:t xml:space="preserve"> </w:t>
      </w:r>
      <w:r w:rsidRPr="008B7F2F">
        <w:rPr>
          <w:rFonts w:cs="Arial"/>
        </w:rPr>
        <w:t xml:space="preserve"> Registro raccoglie tutte le schede di morte ISTAT dei residenti ovunque sia accaduto il decesso sul territorio nazionale, codifica, applicando i criteri della classificazione internazionale delle malattie, le cause che hanno concorso alla morte e, attraverso un algoritmo standardizzato, assegna la causa principale di morte. Il periodo esaminato è compreso tra il 2007 e il 2015 ed </w:t>
      </w:r>
      <w:r w:rsidRPr="008B7F2F">
        <w:rPr>
          <w:rFonts w:eastAsia="Calibri" w:cs="Arial"/>
        </w:rPr>
        <w:t xml:space="preserve">ha prodotto il tasso standardizzato di mortalità x100.000 </w:t>
      </w:r>
    </w:p>
    <w:p w:rsidR="008B7F2F" w:rsidRPr="008B7F2F" w:rsidRDefault="008B7F2F" w:rsidP="008B7F2F">
      <w:pPr>
        <w:spacing w:after="0" w:line="240" w:lineRule="auto"/>
        <w:jc w:val="both"/>
        <w:rPr>
          <w:rFonts w:eastAsia="Calibri" w:cs="Arial"/>
          <w:b/>
        </w:rPr>
      </w:pPr>
    </w:p>
    <w:p w:rsidR="008B7F2F" w:rsidRPr="008B7F2F" w:rsidRDefault="008B7F2F" w:rsidP="008B7F2F">
      <w:pPr>
        <w:spacing w:after="0" w:line="240" w:lineRule="auto"/>
        <w:jc w:val="both"/>
        <w:rPr>
          <w:rFonts w:eastAsia="Calibri" w:cs="Arial"/>
        </w:rPr>
      </w:pPr>
      <w:r w:rsidRPr="008B7F2F">
        <w:rPr>
          <w:rFonts w:eastAsia="Calibri" w:cs="Arial"/>
          <w:b/>
        </w:rPr>
        <w:t xml:space="preserve">Nota Bene. </w:t>
      </w:r>
      <w:r w:rsidRPr="008B7F2F">
        <w:rPr>
          <w:rFonts w:eastAsia="Calibri" w:cs="Arial"/>
        </w:rPr>
        <w:t>Nei grafici si rappresenta in blu i tasso relativo ai maschi e in rosa quello delle femmine</w:t>
      </w:r>
      <w:r w:rsidR="00E421B8">
        <w:rPr>
          <w:rFonts w:eastAsia="Calibri" w:cs="Arial"/>
        </w:rPr>
        <w:t>.</w:t>
      </w:r>
      <w:r w:rsidRPr="008B7F2F">
        <w:rPr>
          <w:rFonts w:eastAsia="Calibri" w:cs="Arial"/>
        </w:rPr>
        <w:t xml:space="preserve"> </w:t>
      </w:r>
    </w:p>
    <w:p w:rsidR="00D41BB1" w:rsidRDefault="00D41BB1" w:rsidP="004D2786">
      <w:pPr>
        <w:pStyle w:val="Nessunaspaziatura"/>
        <w:jc w:val="both"/>
        <w:rPr>
          <w:b/>
          <w:sz w:val="24"/>
          <w:szCs w:val="24"/>
        </w:rPr>
      </w:pPr>
    </w:p>
    <w:p w:rsidR="00D41BB1" w:rsidRPr="00D41BB1" w:rsidRDefault="00D41BB1" w:rsidP="004D2786">
      <w:pPr>
        <w:pStyle w:val="Nessunaspaziatura"/>
        <w:jc w:val="both"/>
        <w:rPr>
          <w:b/>
          <w:sz w:val="24"/>
          <w:szCs w:val="24"/>
        </w:rPr>
      </w:pPr>
    </w:p>
    <w:p w:rsidR="00D41BB1" w:rsidRPr="00D41BB1" w:rsidRDefault="00D41BB1" w:rsidP="004D2786">
      <w:pPr>
        <w:pStyle w:val="Nessunaspaziatura"/>
        <w:jc w:val="both"/>
        <w:rPr>
          <w:b/>
          <w:sz w:val="24"/>
          <w:szCs w:val="24"/>
        </w:rPr>
      </w:pPr>
    </w:p>
    <w:p w:rsidR="00D41BB1" w:rsidRPr="00D41BB1" w:rsidRDefault="00D41BB1" w:rsidP="004D2786">
      <w:pPr>
        <w:pStyle w:val="Nessunaspaziatura"/>
        <w:jc w:val="both"/>
        <w:rPr>
          <w:b/>
          <w:sz w:val="24"/>
          <w:szCs w:val="24"/>
        </w:rPr>
      </w:pPr>
    </w:p>
    <w:p w:rsidR="00D41BB1" w:rsidRPr="00D41BB1" w:rsidRDefault="00D41BB1" w:rsidP="004D2786">
      <w:pPr>
        <w:pStyle w:val="Nessunaspaziatura"/>
        <w:jc w:val="both"/>
        <w:rPr>
          <w:b/>
          <w:sz w:val="24"/>
          <w:szCs w:val="24"/>
        </w:rPr>
      </w:pPr>
    </w:p>
    <w:p w:rsidR="007E49D8" w:rsidRDefault="007E49D8" w:rsidP="007E49D8">
      <w:pPr>
        <w:pStyle w:val="Nessunaspaziatura"/>
        <w:rPr>
          <w:b/>
          <w:sz w:val="24"/>
          <w:szCs w:val="24"/>
        </w:rPr>
      </w:pPr>
    </w:p>
    <w:p w:rsidR="00710206" w:rsidRPr="00185D62" w:rsidRDefault="006D35EF" w:rsidP="007E49D8">
      <w:pPr>
        <w:pStyle w:val="Nessunaspaziatura"/>
        <w:rPr>
          <w:b/>
        </w:rPr>
      </w:pPr>
      <w:r w:rsidRPr="00185D62">
        <w:rPr>
          <w:b/>
        </w:rPr>
        <w:t>AREE TEMATICHE</w:t>
      </w:r>
    </w:p>
    <w:p w:rsidR="00710206" w:rsidRPr="00185D62" w:rsidRDefault="00710206" w:rsidP="004D2786">
      <w:pPr>
        <w:pStyle w:val="Nessunaspaziatura"/>
        <w:jc w:val="both"/>
        <w:rPr>
          <w:b/>
        </w:rPr>
      </w:pPr>
    </w:p>
    <w:p w:rsidR="006D35EF" w:rsidRPr="00114EE6" w:rsidRDefault="00114EE6" w:rsidP="004D2786">
      <w:pPr>
        <w:pStyle w:val="Nessunaspaziatura"/>
        <w:jc w:val="both"/>
        <w:rPr>
          <w:b/>
          <w:u w:val="single"/>
        </w:rPr>
      </w:pPr>
      <w:r>
        <w:rPr>
          <w:b/>
          <w:u w:val="single"/>
        </w:rPr>
        <w:t>l</w:t>
      </w:r>
      <w:r w:rsidR="00185D62" w:rsidRPr="00114EE6">
        <w:rPr>
          <w:b/>
          <w:u w:val="single"/>
        </w:rPr>
        <w:t>a patologia oncologica</w:t>
      </w:r>
    </w:p>
    <w:p w:rsidR="006D35EF" w:rsidRPr="00185D62" w:rsidRDefault="006D35EF" w:rsidP="004D2786">
      <w:pPr>
        <w:pStyle w:val="Nessunaspaziatura"/>
        <w:jc w:val="both"/>
        <w:rPr>
          <w:b/>
        </w:rPr>
      </w:pPr>
    </w:p>
    <w:p w:rsidR="008D0F40" w:rsidRPr="00185D62" w:rsidRDefault="006D35EF" w:rsidP="004D2786">
      <w:pPr>
        <w:pStyle w:val="Nessunaspaziatura"/>
        <w:jc w:val="both"/>
        <w:rPr>
          <w:b/>
        </w:rPr>
      </w:pPr>
      <w:r w:rsidRPr="00185D62">
        <w:rPr>
          <w:b/>
        </w:rPr>
        <w:t xml:space="preserve">I </w:t>
      </w:r>
      <w:r w:rsidR="008D0F40" w:rsidRPr="00185D62">
        <w:rPr>
          <w:b/>
        </w:rPr>
        <w:t>tumori da screening e altri tumori suscettibili di azioni preventive</w:t>
      </w:r>
    </w:p>
    <w:p w:rsidR="00B56853" w:rsidRPr="00185D62" w:rsidRDefault="00B56853" w:rsidP="00B56853">
      <w:pPr>
        <w:pStyle w:val="Nessunaspaziatura"/>
        <w:jc w:val="both"/>
        <w:rPr>
          <w:rFonts w:eastAsia="Times New Roman" w:cs="Arial"/>
          <w:color w:val="000000"/>
          <w:lang w:eastAsia="it-IT"/>
        </w:rPr>
      </w:pPr>
      <w:r w:rsidRPr="00185D62">
        <w:rPr>
          <w:rFonts w:eastAsia="Times New Roman" w:cs="Arial"/>
          <w:color w:val="000000"/>
          <w:lang w:eastAsia="it-IT"/>
        </w:rPr>
        <w:t xml:space="preserve">Per il tumore della </w:t>
      </w:r>
      <w:r w:rsidRPr="00185D62">
        <w:rPr>
          <w:rFonts w:eastAsia="Times New Roman" w:cs="Arial"/>
          <w:i/>
          <w:color w:val="000000"/>
          <w:lang w:eastAsia="it-IT"/>
        </w:rPr>
        <w:t>mammella</w:t>
      </w:r>
      <w:r w:rsidRPr="00185D62">
        <w:rPr>
          <w:rFonts w:eastAsia="Times New Roman" w:cs="Arial"/>
          <w:color w:val="000000"/>
          <w:lang w:eastAsia="it-IT"/>
        </w:rPr>
        <w:t xml:space="preserve"> la mortalità è più bassa a Mantova e più alta a Crema, viceversa l’incidenza. Questo significa che a Mantova lo screening mammografico funziona meglio, perché la diagnosi precoce garantisce verosimilmente un trattamento anticipato e quindi più efficace in termini di sopravvivenza.</w:t>
      </w:r>
    </w:p>
    <w:p w:rsidR="00B56853" w:rsidRPr="00185D62" w:rsidRDefault="00B56853" w:rsidP="00B56853">
      <w:pPr>
        <w:pStyle w:val="Nessunaspaziatura"/>
        <w:jc w:val="both"/>
        <w:rPr>
          <w:rFonts w:eastAsia="Times New Roman" w:cs="Arial"/>
          <w:color w:val="000000"/>
          <w:lang w:eastAsia="it-IT"/>
        </w:rPr>
      </w:pPr>
      <w:r w:rsidRPr="00185D62">
        <w:rPr>
          <w:rFonts w:eastAsia="Times New Roman" w:cs="Arial"/>
          <w:color w:val="000000"/>
          <w:lang w:eastAsia="it-IT"/>
        </w:rPr>
        <w:t xml:space="preserve">Per quanto riguarda invece il tumore del </w:t>
      </w:r>
      <w:r w:rsidRPr="00185D62">
        <w:rPr>
          <w:rFonts w:eastAsia="Times New Roman" w:cs="Arial"/>
          <w:i/>
          <w:color w:val="000000"/>
          <w:lang w:eastAsia="it-IT"/>
        </w:rPr>
        <w:t>colon retto</w:t>
      </w:r>
      <w:r w:rsidRPr="00185D62">
        <w:rPr>
          <w:rFonts w:eastAsia="Times New Roman" w:cs="Arial"/>
          <w:color w:val="000000"/>
          <w:lang w:eastAsia="it-IT"/>
        </w:rPr>
        <w:t>, la più elevata incidenza a Mantova non si traduce in un altrettanta riduzione della mortalità. Ragionevolmente perché l’adesione della popolazione a questo screening “più giovane” non raggiunge ancora livelli  adeguati.</w:t>
      </w:r>
    </w:p>
    <w:p w:rsidR="00B56853" w:rsidRPr="00185D62" w:rsidRDefault="00B56853" w:rsidP="00B56853">
      <w:pPr>
        <w:pStyle w:val="Nessunaspaziatura"/>
        <w:jc w:val="both"/>
        <w:rPr>
          <w:rFonts w:eastAsia="Times New Roman" w:cs="Arial"/>
          <w:color w:val="000000"/>
          <w:lang w:eastAsia="it-IT"/>
        </w:rPr>
      </w:pPr>
      <w:r w:rsidRPr="00185D62">
        <w:rPr>
          <w:rFonts w:eastAsia="Times New Roman" w:cs="Arial"/>
          <w:color w:val="000000"/>
          <w:lang w:eastAsia="it-IT"/>
        </w:rPr>
        <w:t xml:space="preserve">La più bassa mortalità ed incidenza del tumore della </w:t>
      </w:r>
      <w:r w:rsidRPr="00185D62">
        <w:rPr>
          <w:rFonts w:eastAsia="Times New Roman" w:cs="Arial"/>
          <w:i/>
          <w:color w:val="000000"/>
          <w:lang w:eastAsia="it-IT"/>
        </w:rPr>
        <w:t>cervice uterina</w:t>
      </w:r>
      <w:r w:rsidRPr="00185D62">
        <w:rPr>
          <w:rFonts w:eastAsia="Times New Roman" w:cs="Arial"/>
          <w:color w:val="000000"/>
          <w:lang w:eastAsia="it-IT"/>
        </w:rPr>
        <w:t xml:space="preserve"> a Mantova, nel confronto con Cremona, indica invece che lo screening è probabilmente riuscito a catturare lesioni pre-neoplastiche e quindi anche a ridurre l’incidenza. Perplessità suscita invece il dato di Crema in cui alla bassa incidenza si associa un’alta mortalità.  Differenze che complessivamente potrebbero però essere spia della maggiore storica presenza dei Consultori sul territorio mantovano.</w:t>
      </w:r>
    </w:p>
    <w:p w:rsidR="00B56853" w:rsidRPr="00710206" w:rsidRDefault="00B56853" w:rsidP="004D2786">
      <w:pPr>
        <w:pStyle w:val="Nessunaspaziatura"/>
        <w:jc w:val="both"/>
        <w:rPr>
          <w:b/>
          <w:sz w:val="24"/>
          <w:szCs w:val="24"/>
        </w:rPr>
      </w:pPr>
    </w:p>
    <w:tbl>
      <w:tblPr>
        <w:tblW w:w="9723" w:type="dxa"/>
        <w:tblInd w:w="55" w:type="dxa"/>
        <w:tblCellMar>
          <w:left w:w="70" w:type="dxa"/>
          <w:right w:w="70" w:type="dxa"/>
        </w:tblCellMar>
        <w:tblLook w:val="04A0" w:firstRow="1" w:lastRow="0" w:firstColumn="1" w:lastColumn="0" w:noHBand="0" w:noVBand="1"/>
      </w:tblPr>
      <w:tblGrid>
        <w:gridCol w:w="5073"/>
        <w:gridCol w:w="4650"/>
      </w:tblGrid>
      <w:tr w:rsidR="00B56853" w:rsidRPr="006123B0" w:rsidTr="006F4A15">
        <w:trPr>
          <w:trHeight w:val="300"/>
        </w:trPr>
        <w:tc>
          <w:tcPr>
            <w:tcW w:w="4948" w:type="dxa"/>
            <w:shd w:val="clear" w:color="auto" w:fill="auto"/>
            <w:noWrap/>
            <w:vAlign w:val="bottom"/>
            <w:hideMark/>
          </w:tcPr>
          <w:p w:rsidR="00B56853" w:rsidRPr="006123B0" w:rsidRDefault="00B56853" w:rsidP="00E7192E">
            <w:pPr>
              <w:spacing w:after="0" w:line="240" w:lineRule="auto"/>
              <w:rPr>
                <w:rFonts w:ascii="Arial" w:eastAsia="Times New Roman" w:hAnsi="Arial" w:cs="Arial"/>
                <w:i/>
                <w:color w:val="000000"/>
                <w:lang w:eastAsia="it-IT"/>
              </w:rPr>
            </w:pPr>
            <w:r w:rsidRPr="006123B0">
              <w:rPr>
                <w:rFonts w:ascii="Arial" w:eastAsia="Times New Roman" w:hAnsi="Arial" w:cs="Arial"/>
                <w:i/>
                <w:color w:val="000000"/>
                <w:lang w:eastAsia="it-IT"/>
              </w:rPr>
              <w:t> </w:t>
            </w:r>
            <w:r w:rsidR="00C12DEF">
              <w:rPr>
                <w:noProof/>
                <w:lang w:eastAsia="it-IT"/>
              </w:rPr>
              <w:lastRenderedPageBreak/>
              <w:drawing>
                <wp:inline distT="0" distB="0" distL="0" distR="0" wp14:anchorId="5E92794E" wp14:editId="344482FF">
                  <wp:extent cx="3286125" cy="2124075"/>
                  <wp:effectExtent l="0" t="0" r="9525" b="9525"/>
                  <wp:docPr id="51" name="Gra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c>
          <w:tcPr>
            <w:tcW w:w="4775" w:type="dxa"/>
            <w:shd w:val="clear" w:color="auto" w:fill="auto"/>
            <w:noWrap/>
            <w:vAlign w:val="bottom"/>
            <w:hideMark/>
          </w:tcPr>
          <w:p w:rsidR="00B56853" w:rsidRPr="006123B0" w:rsidRDefault="00B56853" w:rsidP="00E7192E">
            <w:pPr>
              <w:spacing w:after="0" w:line="240" w:lineRule="auto"/>
              <w:rPr>
                <w:rFonts w:ascii="Arial" w:eastAsia="Times New Roman" w:hAnsi="Arial" w:cs="Arial"/>
                <w:i/>
                <w:color w:val="000000"/>
                <w:lang w:eastAsia="it-IT"/>
              </w:rPr>
            </w:pPr>
            <w:r w:rsidRPr="006123B0">
              <w:rPr>
                <w:rFonts w:ascii="Arial" w:eastAsia="Times New Roman" w:hAnsi="Arial" w:cs="Arial"/>
                <w:i/>
                <w:color w:val="000000"/>
                <w:lang w:eastAsia="it-IT"/>
              </w:rPr>
              <w:lastRenderedPageBreak/>
              <w:t> </w:t>
            </w:r>
            <w:r w:rsidR="00C51DD8">
              <w:rPr>
                <w:noProof/>
                <w:lang w:eastAsia="it-IT"/>
              </w:rPr>
              <w:lastRenderedPageBreak/>
              <w:drawing>
                <wp:inline distT="0" distB="0" distL="0" distR="0" wp14:anchorId="43624C6D" wp14:editId="2D1AB8A2">
                  <wp:extent cx="2990850" cy="2114550"/>
                  <wp:effectExtent l="0" t="0" r="19050" b="19050"/>
                  <wp:docPr id="44" name="Grafico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r w:rsidR="00B56853" w:rsidRPr="006123B0" w:rsidTr="006F4A15">
        <w:trPr>
          <w:trHeight w:val="300"/>
        </w:trPr>
        <w:tc>
          <w:tcPr>
            <w:tcW w:w="4948" w:type="dxa"/>
            <w:shd w:val="clear" w:color="auto" w:fill="auto"/>
            <w:noWrap/>
            <w:vAlign w:val="bottom"/>
            <w:hideMark/>
          </w:tcPr>
          <w:p w:rsidR="00B56853" w:rsidRPr="006123B0" w:rsidRDefault="00B56853"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lastRenderedPageBreak/>
              <w:t> </w:t>
            </w:r>
          </w:p>
          <w:p w:rsidR="00B56853" w:rsidRPr="006123B0" w:rsidRDefault="006F4A15" w:rsidP="00E7192E">
            <w:pPr>
              <w:spacing w:after="0" w:line="240" w:lineRule="auto"/>
              <w:rPr>
                <w:rFonts w:ascii="Arial" w:eastAsia="Times New Roman" w:hAnsi="Arial" w:cs="Arial"/>
                <w:color w:val="000000"/>
                <w:lang w:eastAsia="it-IT"/>
              </w:rPr>
            </w:pPr>
            <w:r>
              <w:rPr>
                <w:noProof/>
                <w:lang w:eastAsia="it-IT"/>
              </w:rPr>
              <w:drawing>
                <wp:inline distT="0" distB="0" distL="0" distR="0" wp14:anchorId="7529D9D1" wp14:editId="61962541">
                  <wp:extent cx="3286125" cy="1990725"/>
                  <wp:effectExtent l="0" t="0" r="9525" b="9525"/>
                  <wp:docPr id="49" name="Gra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c>
          <w:tcPr>
            <w:tcW w:w="4775" w:type="dxa"/>
            <w:shd w:val="clear" w:color="auto" w:fill="auto"/>
            <w:noWrap/>
            <w:vAlign w:val="bottom"/>
            <w:hideMark/>
          </w:tcPr>
          <w:p w:rsidR="00B56853" w:rsidRPr="006123B0" w:rsidRDefault="00B56853"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0D3B76">
              <w:rPr>
                <w:noProof/>
                <w:lang w:eastAsia="it-IT"/>
              </w:rPr>
              <w:drawing>
                <wp:inline distT="0" distB="0" distL="0" distR="0" wp14:anchorId="582011E4" wp14:editId="615B4B84">
                  <wp:extent cx="2952750" cy="1981200"/>
                  <wp:effectExtent l="0" t="0" r="19050" b="19050"/>
                  <wp:docPr id="45" name="Grafico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bl>
    <w:p w:rsidR="00710206" w:rsidRDefault="00710206" w:rsidP="004D2786">
      <w:pPr>
        <w:pStyle w:val="Nessunaspaziatura"/>
        <w:jc w:val="both"/>
        <w:rPr>
          <w:sz w:val="24"/>
          <w:szCs w:val="24"/>
        </w:rPr>
      </w:pPr>
    </w:p>
    <w:tbl>
      <w:tblPr>
        <w:tblW w:w="9723" w:type="dxa"/>
        <w:tblInd w:w="55" w:type="dxa"/>
        <w:tblCellMar>
          <w:left w:w="70" w:type="dxa"/>
          <w:right w:w="70" w:type="dxa"/>
        </w:tblCellMar>
        <w:tblLook w:val="04A0" w:firstRow="1" w:lastRow="0" w:firstColumn="1" w:lastColumn="0" w:noHBand="0" w:noVBand="1"/>
      </w:tblPr>
      <w:tblGrid>
        <w:gridCol w:w="5004"/>
        <w:gridCol w:w="4719"/>
      </w:tblGrid>
      <w:tr w:rsidR="00B56853" w:rsidRPr="006123B0" w:rsidTr="009D0C75">
        <w:trPr>
          <w:trHeight w:val="300"/>
        </w:trPr>
        <w:tc>
          <w:tcPr>
            <w:tcW w:w="5067" w:type="dxa"/>
            <w:shd w:val="clear" w:color="auto" w:fill="auto"/>
            <w:noWrap/>
            <w:vAlign w:val="bottom"/>
            <w:hideMark/>
          </w:tcPr>
          <w:p w:rsidR="00B56853" w:rsidRPr="006123B0" w:rsidRDefault="00B56853"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3B1E3A">
              <w:rPr>
                <w:noProof/>
                <w:lang w:eastAsia="it-IT"/>
              </w:rPr>
              <w:drawing>
                <wp:inline distT="0" distB="0" distL="0" distR="0" wp14:anchorId="066CF22E" wp14:editId="1C937F6B">
                  <wp:extent cx="3200400" cy="2105025"/>
                  <wp:effectExtent l="0" t="0" r="19050" b="9525"/>
                  <wp:docPr id="54" name="Gra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c>
          <w:tcPr>
            <w:tcW w:w="4656" w:type="dxa"/>
            <w:shd w:val="clear" w:color="auto" w:fill="auto"/>
            <w:noWrap/>
            <w:vAlign w:val="bottom"/>
            <w:hideMark/>
          </w:tcPr>
          <w:p w:rsidR="00B56853" w:rsidRPr="006123B0" w:rsidRDefault="00B56853"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9D0C75">
              <w:rPr>
                <w:noProof/>
                <w:lang w:eastAsia="it-IT"/>
              </w:rPr>
              <w:drawing>
                <wp:inline distT="0" distB="0" distL="0" distR="0" wp14:anchorId="618BE1E5" wp14:editId="4E65E69B">
                  <wp:extent cx="3019425" cy="2105025"/>
                  <wp:effectExtent l="0" t="0" r="9525" b="9525"/>
                  <wp:docPr id="46" name="Gra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B56853" w:rsidRDefault="00B56853" w:rsidP="004D2786">
      <w:pPr>
        <w:pStyle w:val="Nessunaspaziatura"/>
        <w:jc w:val="both"/>
        <w:rPr>
          <w:sz w:val="24"/>
          <w:szCs w:val="24"/>
        </w:rPr>
      </w:pPr>
    </w:p>
    <w:p w:rsidR="00B56853" w:rsidRDefault="00B56853" w:rsidP="004D2786">
      <w:pPr>
        <w:pStyle w:val="Nessunaspaziatura"/>
        <w:jc w:val="both"/>
        <w:rPr>
          <w:sz w:val="24"/>
          <w:szCs w:val="24"/>
        </w:rPr>
      </w:pPr>
      <w:r>
        <w:rPr>
          <w:sz w:val="24"/>
          <w:szCs w:val="24"/>
        </w:rPr>
        <w:t xml:space="preserve">Il tumore del polmone non rientra tra quelli di screening di popolazione, ma riconosce tra le cause </w:t>
      </w:r>
      <w:r w:rsidR="00BF4962">
        <w:rPr>
          <w:sz w:val="24"/>
          <w:szCs w:val="24"/>
        </w:rPr>
        <w:t xml:space="preserve">anche </w:t>
      </w:r>
      <w:r>
        <w:rPr>
          <w:sz w:val="24"/>
          <w:szCs w:val="24"/>
        </w:rPr>
        <w:t xml:space="preserve">il fumo di tabacco, abitudine voluttuaria oggetto essa stessa di campagne informative </w:t>
      </w:r>
      <w:r w:rsidR="00892000">
        <w:rPr>
          <w:sz w:val="24"/>
          <w:szCs w:val="24"/>
        </w:rPr>
        <w:t xml:space="preserve">di sensibilizzazione </w:t>
      </w:r>
      <w:r>
        <w:rPr>
          <w:sz w:val="24"/>
          <w:szCs w:val="24"/>
        </w:rPr>
        <w:t>intense.</w:t>
      </w:r>
    </w:p>
    <w:p w:rsidR="00B56853" w:rsidRDefault="00B56853" w:rsidP="004D2786">
      <w:pPr>
        <w:pStyle w:val="Nessunaspaziatura"/>
        <w:jc w:val="both"/>
        <w:rPr>
          <w:sz w:val="24"/>
          <w:szCs w:val="24"/>
        </w:rPr>
      </w:pPr>
    </w:p>
    <w:tbl>
      <w:tblPr>
        <w:tblW w:w="9723" w:type="dxa"/>
        <w:tblInd w:w="55" w:type="dxa"/>
        <w:tblCellMar>
          <w:left w:w="70" w:type="dxa"/>
          <w:right w:w="70" w:type="dxa"/>
        </w:tblCellMar>
        <w:tblLook w:val="04A0" w:firstRow="1" w:lastRow="0" w:firstColumn="1" w:lastColumn="0" w:noHBand="0" w:noVBand="1"/>
      </w:tblPr>
      <w:tblGrid>
        <w:gridCol w:w="5039"/>
        <w:gridCol w:w="4684"/>
      </w:tblGrid>
      <w:tr w:rsidR="00B56853" w:rsidRPr="006123B0" w:rsidTr="00996151">
        <w:trPr>
          <w:trHeight w:val="300"/>
        </w:trPr>
        <w:tc>
          <w:tcPr>
            <w:tcW w:w="4769" w:type="dxa"/>
            <w:shd w:val="clear" w:color="auto" w:fill="auto"/>
            <w:noWrap/>
            <w:vAlign w:val="bottom"/>
          </w:tcPr>
          <w:p w:rsidR="00B56853" w:rsidRPr="006123B0" w:rsidRDefault="00996151" w:rsidP="00E7192E">
            <w:pPr>
              <w:spacing w:after="0" w:line="240" w:lineRule="auto"/>
              <w:rPr>
                <w:rFonts w:ascii="Arial" w:hAnsi="Arial" w:cs="Arial"/>
                <w:noProof/>
                <w:lang w:eastAsia="it-IT"/>
              </w:rPr>
            </w:pPr>
            <w:r>
              <w:rPr>
                <w:noProof/>
                <w:lang w:eastAsia="it-IT"/>
              </w:rPr>
              <w:lastRenderedPageBreak/>
              <w:drawing>
                <wp:inline distT="0" distB="0" distL="0" distR="0" wp14:anchorId="364CAF09" wp14:editId="36E3C73C">
                  <wp:extent cx="3286125" cy="1933575"/>
                  <wp:effectExtent l="0" t="0" r="9525" b="9525"/>
                  <wp:docPr id="56" name="Grafico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c>
          <w:tcPr>
            <w:tcW w:w="4954" w:type="dxa"/>
            <w:shd w:val="clear" w:color="auto" w:fill="auto"/>
            <w:noWrap/>
            <w:vAlign w:val="bottom"/>
          </w:tcPr>
          <w:p w:rsidR="00B56853" w:rsidRPr="006123B0" w:rsidRDefault="002254A1" w:rsidP="00E7192E">
            <w:pPr>
              <w:spacing w:after="0" w:line="240" w:lineRule="auto"/>
              <w:rPr>
                <w:rFonts w:ascii="Arial" w:eastAsia="Times New Roman" w:hAnsi="Arial" w:cs="Arial"/>
                <w:color w:val="000000"/>
                <w:lang w:eastAsia="it-IT"/>
              </w:rPr>
            </w:pPr>
            <w:r>
              <w:rPr>
                <w:noProof/>
                <w:lang w:eastAsia="it-IT"/>
              </w:rPr>
              <w:drawing>
                <wp:inline distT="0" distB="0" distL="0" distR="0" wp14:anchorId="5B5F0FE7" wp14:editId="68F1F937">
                  <wp:extent cx="2895600" cy="1933575"/>
                  <wp:effectExtent l="0" t="0" r="19050" b="9525"/>
                  <wp:docPr id="43" name="Grafico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B56853" w:rsidRDefault="00B56853" w:rsidP="004D2786">
      <w:pPr>
        <w:pStyle w:val="Nessunaspaziatura"/>
        <w:jc w:val="both"/>
        <w:rPr>
          <w:sz w:val="24"/>
          <w:szCs w:val="24"/>
        </w:rPr>
      </w:pPr>
    </w:p>
    <w:p w:rsidR="00E428DE" w:rsidRDefault="00E428DE" w:rsidP="004D2786">
      <w:pPr>
        <w:pStyle w:val="Nessunaspaziatura"/>
        <w:jc w:val="both"/>
        <w:rPr>
          <w:sz w:val="24"/>
          <w:szCs w:val="24"/>
        </w:rPr>
      </w:pPr>
      <w:r>
        <w:rPr>
          <w:sz w:val="24"/>
          <w:szCs w:val="24"/>
        </w:rPr>
        <w:t xml:space="preserve">Il tumore dello </w:t>
      </w:r>
      <w:r w:rsidR="00932B89">
        <w:rPr>
          <w:sz w:val="24"/>
          <w:szCs w:val="24"/>
        </w:rPr>
        <w:t xml:space="preserve">stomaco presenta </w:t>
      </w:r>
      <w:r w:rsidR="00ED7289">
        <w:rPr>
          <w:sz w:val="24"/>
          <w:szCs w:val="24"/>
        </w:rPr>
        <w:t xml:space="preserve">storicamente </w:t>
      </w:r>
      <w:r w:rsidR="00932B89">
        <w:rPr>
          <w:sz w:val="24"/>
          <w:szCs w:val="24"/>
        </w:rPr>
        <w:t>un tasso molto elevato nei distretti di Crema e Cremona, come già peraltro rilevato in tutti i confronti regionali  e nazionali, anche il tumore del fegato presenta eccessi statisticamente significativi nel confronto con Mantova. Coerentemente anche la mortalità per queste cause risulta elevata.</w:t>
      </w:r>
      <w:r w:rsidR="00ED7289">
        <w:rPr>
          <w:sz w:val="24"/>
          <w:szCs w:val="24"/>
        </w:rPr>
        <w:t xml:space="preserve"> A monte di queste patologie si possono ipotizzare esposizioni </w:t>
      </w:r>
      <w:r w:rsidR="00F742D6">
        <w:rPr>
          <w:sz w:val="24"/>
          <w:szCs w:val="24"/>
        </w:rPr>
        <w:t xml:space="preserve">prevenibili </w:t>
      </w:r>
      <w:r w:rsidR="00ED7289">
        <w:rPr>
          <w:sz w:val="24"/>
          <w:szCs w:val="24"/>
        </w:rPr>
        <w:t xml:space="preserve">a rischio di tipo infettivo. </w:t>
      </w:r>
    </w:p>
    <w:p w:rsidR="002254A1" w:rsidRDefault="002254A1" w:rsidP="004D2786">
      <w:pPr>
        <w:pStyle w:val="Nessunaspaziatura"/>
        <w:jc w:val="both"/>
        <w:rPr>
          <w:sz w:val="24"/>
          <w:szCs w:val="24"/>
        </w:rPr>
      </w:pPr>
    </w:p>
    <w:tbl>
      <w:tblPr>
        <w:tblW w:w="9723" w:type="dxa"/>
        <w:tblInd w:w="55" w:type="dxa"/>
        <w:tblCellMar>
          <w:left w:w="70" w:type="dxa"/>
          <w:right w:w="70" w:type="dxa"/>
        </w:tblCellMar>
        <w:tblLook w:val="04A0" w:firstRow="1" w:lastRow="0" w:firstColumn="1" w:lastColumn="0" w:noHBand="0" w:noVBand="1"/>
      </w:tblPr>
      <w:tblGrid>
        <w:gridCol w:w="4769"/>
        <w:gridCol w:w="4954"/>
      </w:tblGrid>
      <w:tr w:rsidR="00E428DE" w:rsidRPr="006123B0" w:rsidTr="000555AE">
        <w:trPr>
          <w:trHeight w:val="300"/>
        </w:trPr>
        <w:tc>
          <w:tcPr>
            <w:tcW w:w="4769" w:type="dxa"/>
            <w:shd w:val="clear" w:color="auto" w:fill="auto"/>
            <w:noWrap/>
            <w:vAlign w:val="bottom"/>
          </w:tcPr>
          <w:p w:rsidR="00E428DE" w:rsidRPr="006123B0" w:rsidRDefault="000555AE" w:rsidP="00E7192E">
            <w:pPr>
              <w:spacing w:after="0" w:line="240" w:lineRule="auto"/>
              <w:rPr>
                <w:rFonts w:ascii="Arial" w:hAnsi="Arial" w:cs="Arial"/>
                <w:noProof/>
                <w:lang w:eastAsia="it-IT"/>
              </w:rPr>
            </w:pPr>
            <w:r>
              <w:rPr>
                <w:noProof/>
                <w:lang w:eastAsia="it-IT"/>
              </w:rPr>
              <w:drawing>
                <wp:inline distT="0" distB="0" distL="0" distR="0" wp14:anchorId="25F2AD31" wp14:editId="69EAEE17">
                  <wp:extent cx="3286125" cy="1933575"/>
                  <wp:effectExtent l="0" t="0" r="9525" b="9525"/>
                  <wp:docPr id="57" name="Grafico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4954" w:type="dxa"/>
            <w:shd w:val="clear" w:color="auto" w:fill="auto"/>
            <w:noWrap/>
            <w:vAlign w:val="bottom"/>
          </w:tcPr>
          <w:p w:rsidR="00E428DE" w:rsidRPr="006123B0" w:rsidRDefault="00FF3E13" w:rsidP="00E7192E">
            <w:pPr>
              <w:spacing w:after="0" w:line="240" w:lineRule="auto"/>
              <w:rPr>
                <w:rFonts w:ascii="Arial" w:hAnsi="Arial" w:cs="Arial"/>
                <w:noProof/>
                <w:lang w:eastAsia="it-IT"/>
              </w:rPr>
            </w:pPr>
            <w:r>
              <w:rPr>
                <w:noProof/>
                <w:lang w:eastAsia="it-IT"/>
              </w:rPr>
              <w:drawing>
                <wp:inline distT="0" distB="0" distL="0" distR="0" wp14:anchorId="74BCD885" wp14:editId="0BCB634D">
                  <wp:extent cx="3152775" cy="1885950"/>
                  <wp:effectExtent l="0" t="0" r="9525" b="19050"/>
                  <wp:docPr id="47" name="Grafico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E428DE" w:rsidRPr="006123B0" w:rsidTr="000555AE">
        <w:trPr>
          <w:trHeight w:val="300"/>
        </w:trPr>
        <w:tc>
          <w:tcPr>
            <w:tcW w:w="4769" w:type="dxa"/>
            <w:shd w:val="clear" w:color="auto" w:fill="auto"/>
            <w:noWrap/>
            <w:vAlign w:val="bottom"/>
          </w:tcPr>
          <w:p w:rsidR="00E428DE" w:rsidRPr="00E428DE" w:rsidRDefault="00E428DE" w:rsidP="00E7192E">
            <w:pPr>
              <w:spacing w:after="0" w:line="240" w:lineRule="auto"/>
              <w:rPr>
                <w:rFonts w:ascii="Arial" w:hAnsi="Arial" w:cs="Arial"/>
                <w:noProof/>
                <w:lang w:eastAsia="it-IT"/>
              </w:rPr>
            </w:pPr>
            <w:r w:rsidRPr="00E428DE">
              <w:rPr>
                <w:rFonts w:ascii="Arial" w:hAnsi="Arial" w:cs="Arial"/>
                <w:noProof/>
                <w:lang w:eastAsia="it-IT"/>
              </w:rPr>
              <w:t> </w:t>
            </w:r>
            <w:r w:rsidR="007C7F5A">
              <w:rPr>
                <w:noProof/>
                <w:lang w:eastAsia="it-IT"/>
              </w:rPr>
              <w:drawing>
                <wp:inline distT="0" distB="0" distL="0" distR="0" wp14:anchorId="14AD338D" wp14:editId="539F7300">
                  <wp:extent cx="3286125" cy="1933575"/>
                  <wp:effectExtent l="0" t="0" r="9525" b="9525"/>
                  <wp:docPr id="50" name="Gra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4954" w:type="dxa"/>
            <w:shd w:val="clear" w:color="auto" w:fill="auto"/>
            <w:noWrap/>
            <w:vAlign w:val="bottom"/>
          </w:tcPr>
          <w:p w:rsidR="00E428DE" w:rsidRPr="00E428DE" w:rsidRDefault="00E428DE" w:rsidP="00E7192E">
            <w:pPr>
              <w:spacing w:after="0" w:line="240" w:lineRule="auto"/>
              <w:rPr>
                <w:rFonts w:ascii="Arial" w:hAnsi="Arial" w:cs="Arial"/>
                <w:noProof/>
                <w:lang w:eastAsia="it-IT"/>
              </w:rPr>
            </w:pPr>
            <w:r w:rsidRPr="00E428DE">
              <w:rPr>
                <w:rFonts w:ascii="Arial" w:hAnsi="Arial" w:cs="Arial"/>
                <w:noProof/>
                <w:lang w:eastAsia="it-IT"/>
              </w:rPr>
              <w:t> </w:t>
            </w:r>
            <w:r w:rsidR="00415879">
              <w:rPr>
                <w:noProof/>
                <w:lang w:eastAsia="it-IT"/>
              </w:rPr>
              <w:drawing>
                <wp:inline distT="0" distB="0" distL="0" distR="0" wp14:anchorId="270BAB7B" wp14:editId="05BE576B">
                  <wp:extent cx="3409950" cy="1971675"/>
                  <wp:effectExtent l="0" t="0" r="19050" b="9525"/>
                  <wp:docPr id="48" name="Gra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E428DE" w:rsidRDefault="00E428DE" w:rsidP="004D2786">
      <w:pPr>
        <w:pStyle w:val="Nessunaspaziatura"/>
        <w:jc w:val="both"/>
        <w:rPr>
          <w:sz w:val="24"/>
          <w:szCs w:val="24"/>
        </w:rPr>
      </w:pPr>
    </w:p>
    <w:p w:rsidR="00313558" w:rsidRDefault="00A03167" w:rsidP="004D2786">
      <w:pPr>
        <w:pStyle w:val="Nessunaspaziatura"/>
        <w:jc w:val="both"/>
        <w:rPr>
          <w:sz w:val="24"/>
          <w:szCs w:val="24"/>
        </w:rPr>
      </w:pPr>
      <w:r>
        <w:rPr>
          <w:sz w:val="24"/>
          <w:szCs w:val="24"/>
        </w:rPr>
        <w:t>Allo scopo di meglio rappresentare la distribuzione di frequenza dei tumori per fasce di età e contestualmente per genere, si riportano i grafici che seguono.</w:t>
      </w:r>
      <w:r w:rsidR="00313558">
        <w:rPr>
          <w:sz w:val="24"/>
          <w:szCs w:val="24"/>
        </w:rPr>
        <w:t xml:space="preserve"> </w:t>
      </w:r>
    </w:p>
    <w:p w:rsidR="000E41DA" w:rsidRDefault="00A03167" w:rsidP="004D2786">
      <w:pPr>
        <w:pStyle w:val="Nessunaspaziatura"/>
        <w:jc w:val="both"/>
        <w:rPr>
          <w:sz w:val="24"/>
          <w:szCs w:val="24"/>
        </w:rPr>
      </w:pPr>
      <w:r>
        <w:rPr>
          <w:sz w:val="24"/>
          <w:szCs w:val="24"/>
        </w:rPr>
        <w:t xml:space="preserve">Particolare interesse a fini di prevenzione, merita </w:t>
      </w:r>
      <w:r w:rsidR="00800AF6">
        <w:rPr>
          <w:sz w:val="24"/>
          <w:szCs w:val="24"/>
        </w:rPr>
        <w:t xml:space="preserve"> la quota di casi di morte in soggetti in età da screening (&lt;75 anni).</w:t>
      </w:r>
      <w:r w:rsidR="002B5A4B">
        <w:rPr>
          <w:sz w:val="24"/>
          <w:szCs w:val="24"/>
        </w:rPr>
        <w:t xml:space="preserve"> </w:t>
      </w:r>
      <w:r w:rsidR="00C66AD8">
        <w:rPr>
          <w:sz w:val="24"/>
          <w:szCs w:val="24"/>
        </w:rPr>
        <w:t>Si osserva che l</w:t>
      </w:r>
      <w:r w:rsidR="002B5A4B">
        <w:rPr>
          <w:sz w:val="24"/>
          <w:szCs w:val="24"/>
        </w:rPr>
        <w:t>a</w:t>
      </w:r>
      <w:r w:rsidR="00800AF6">
        <w:rPr>
          <w:sz w:val="24"/>
          <w:szCs w:val="24"/>
        </w:rPr>
        <w:t xml:space="preserve"> mortalità per tumore dell’utero non riguarda esclusivamente il tumore della cervice uterina e risulta quindi poco indicativo per questa</w:t>
      </w:r>
      <w:r w:rsidR="00F742D6">
        <w:rPr>
          <w:sz w:val="24"/>
          <w:szCs w:val="24"/>
        </w:rPr>
        <w:t xml:space="preserve"> specifica patologia oncologica.</w:t>
      </w:r>
    </w:p>
    <w:p w:rsidR="00313558" w:rsidRDefault="00313558" w:rsidP="004D2786">
      <w:pPr>
        <w:pStyle w:val="Nessunaspaziatura"/>
        <w:jc w:val="both"/>
        <w:rPr>
          <w:sz w:val="24"/>
          <w:szCs w:val="24"/>
        </w:rPr>
      </w:pPr>
    </w:p>
    <w:p w:rsidR="00313558" w:rsidRDefault="00313558" w:rsidP="004D2786">
      <w:pPr>
        <w:pStyle w:val="Nessunaspaziatura"/>
        <w:jc w:val="both"/>
        <w:rPr>
          <w:sz w:val="28"/>
          <w:szCs w:val="28"/>
        </w:rPr>
      </w:pPr>
      <w:r>
        <w:rPr>
          <w:noProof/>
          <w:lang w:eastAsia="it-IT"/>
        </w:rPr>
        <w:lastRenderedPageBreak/>
        <w:drawing>
          <wp:inline distT="0" distB="0" distL="0" distR="0" wp14:anchorId="722C4D27" wp14:editId="2898D498">
            <wp:extent cx="3238500" cy="2438400"/>
            <wp:effectExtent l="0" t="0" r="19050" b="19050"/>
            <wp:docPr id="1"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Pr>
          <w:noProof/>
          <w:lang w:eastAsia="it-IT"/>
        </w:rPr>
        <w:drawing>
          <wp:inline distT="0" distB="0" distL="0" distR="0" wp14:anchorId="0A2095A0" wp14:editId="1F18DCC4">
            <wp:extent cx="2771775" cy="2447925"/>
            <wp:effectExtent l="0" t="0" r="9525" b="9525"/>
            <wp:docPr id="2" name="Gra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E41DA" w:rsidRDefault="000E41DA" w:rsidP="004D2786">
      <w:pPr>
        <w:pStyle w:val="Nessunaspaziatura"/>
        <w:jc w:val="both"/>
        <w:rPr>
          <w:sz w:val="28"/>
          <w:szCs w:val="28"/>
        </w:rPr>
      </w:pPr>
    </w:p>
    <w:p w:rsidR="000E41DA" w:rsidRDefault="000E41DA" w:rsidP="004D2786">
      <w:pPr>
        <w:pStyle w:val="Nessunaspaziatura"/>
        <w:jc w:val="both"/>
        <w:rPr>
          <w:sz w:val="28"/>
          <w:szCs w:val="28"/>
        </w:rPr>
      </w:pPr>
      <w:r>
        <w:rPr>
          <w:noProof/>
          <w:lang w:eastAsia="it-IT"/>
        </w:rPr>
        <w:drawing>
          <wp:inline distT="0" distB="0" distL="0" distR="0" wp14:anchorId="17DA032D" wp14:editId="21B8A320">
            <wp:extent cx="3228975" cy="2333625"/>
            <wp:effectExtent l="0" t="0" r="9525" b="9525"/>
            <wp:docPr id="3" name="Gra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noProof/>
          <w:lang w:eastAsia="it-IT"/>
        </w:rPr>
        <w:drawing>
          <wp:inline distT="0" distB="0" distL="0" distR="0" wp14:anchorId="4356CAEE" wp14:editId="73B3F129">
            <wp:extent cx="2762250" cy="2324100"/>
            <wp:effectExtent l="0" t="0" r="19050" b="19050"/>
            <wp:docPr id="4" name="Gra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5386F" w:rsidRDefault="0015386F" w:rsidP="004D2786">
      <w:pPr>
        <w:pStyle w:val="Nessunaspaziatura"/>
        <w:jc w:val="both"/>
        <w:rPr>
          <w:sz w:val="28"/>
          <w:szCs w:val="28"/>
        </w:rPr>
      </w:pPr>
    </w:p>
    <w:p w:rsidR="00907396" w:rsidRDefault="00907396" w:rsidP="004D2786">
      <w:pPr>
        <w:pStyle w:val="Nessunaspaziatura"/>
        <w:jc w:val="both"/>
        <w:rPr>
          <w:sz w:val="28"/>
          <w:szCs w:val="28"/>
        </w:rPr>
      </w:pPr>
      <w:r>
        <w:rPr>
          <w:noProof/>
          <w:lang w:eastAsia="it-IT"/>
        </w:rPr>
        <w:drawing>
          <wp:inline distT="0" distB="0" distL="0" distR="0" wp14:anchorId="5937B6E4" wp14:editId="4970328D">
            <wp:extent cx="3333750" cy="2238375"/>
            <wp:effectExtent l="0" t="0" r="19050" b="9525"/>
            <wp:docPr id="10" name="Gra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Pr>
          <w:noProof/>
          <w:lang w:eastAsia="it-IT"/>
        </w:rPr>
        <w:drawing>
          <wp:inline distT="0" distB="0" distL="0" distR="0" wp14:anchorId="70503060" wp14:editId="4F5CB4F5">
            <wp:extent cx="2724150" cy="2238375"/>
            <wp:effectExtent l="0" t="0" r="19050" b="9525"/>
            <wp:docPr id="11" name="Gra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07396" w:rsidRDefault="00907396" w:rsidP="004D2786">
      <w:pPr>
        <w:pStyle w:val="Nessunaspaziatura"/>
        <w:jc w:val="both"/>
        <w:rPr>
          <w:sz w:val="28"/>
          <w:szCs w:val="28"/>
        </w:rPr>
      </w:pPr>
    </w:p>
    <w:p w:rsidR="002B5A4B" w:rsidRDefault="002B5A4B" w:rsidP="004D2786">
      <w:pPr>
        <w:pStyle w:val="Nessunaspaziatura"/>
        <w:jc w:val="both"/>
        <w:rPr>
          <w:sz w:val="28"/>
          <w:szCs w:val="28"/>
        </w:rPr>
      </w:pPr>
      <w:r>
        <w:rPr>
          <w:noProof/>
          <w:lang w:eastAsia="it-IT"/>
        </w:rPr>
        <w:lastRenderedPageBreak/>
        <w:drawing>
          <wp:inline distT="0" distB="0" distL="0" distR="0" wp14:anchorId="3296EC01" wp14:editId="62E8A366">
            <wp:extent cx="3343275" cy="2209800"/>
            <wp:effectExtent l="0" t="0" r="9525" b="19050"/>
            <wp:docPr id="9" name="Gra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Pr>
          <w:noProof/>
          <w:lang w:eastAsia="it-IT"/>
        </w:rPr>
        <w:drawing>
          <wp:inline distT="0" distB="0" distL="0" distR="0" wp14:anchorId="11D1735F" wp14:editId="2B43CBE5">
            <wp:extent cx="2743200" cy="2209800"/>
            <wp:effectExtent l="0" t="0" r="19050" b="19050"/>
            <wp:docPr id="17" name="Gra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2B5A4B" w:rsidRDefault="002B5A4B" w:rsidP="004D2786">
      <w:pPr>
        <w:pStyle w:val="Nessunaspaziatura"/>
        <w:jc w:val="both"/>
      </w:pPr>
    </w:p>
    <w:p w:rsidR="002B5A4B" w:rsidRDefault="00666D96" w:rsidP="004D2786">
      <w:pPr>
        <w:pStyle w:val="Nessunaspaziatura"/>
        <w:jc w:val="both"/>
      </w:pPr>
      <w:r>
        <w:rPr>
          <w:noProof/>
          <w:lang w:eastAsia="it-IT"/>
        </w:rPr>
        <w:drawing>
          <wp:inline distT="0" distB="0" distL="0" distR="0" wp14:anchorId="62F1D580" wp14:editId="72986A03">
            <wp:extent cx="3333750" cy="2524125"/>
            <wp:effectExtent l="0" t="0" r="19050" b="9525"/>
            <wp:docPr id="53" name="Grafico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DF5F2F">
        <w:rPr>
          <w:noProof/>
          <w:lang w:eastAsia="it-IT"/>
        </w:rPr>
        <w:drawing>
          <wp:inline distT="0" distB="0" distL="0" distR="0" wp14:anchorId="5C27DF1D" wp14:editId="00A73647">
            <wp:extent cx="2752725" cy="2514600"/>
            <wp:effectExtent l="0" t="0" r="9525" b="19050"/>
            <wp:docPr id="55" name="Gra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2B5A4B" w:rsidRDefault="002B5A4B" w:rsidP="004D2786">
      <w:pPr>
        <w:pStyle w:val="Nessunaspaziatura"/>
        <w:jc w:val="both"/>
      </w:pPr>
    </w:p>
    <w:p w:rsidR="0015386F" w:rsidRDefault="0015386F" w:rsidP="004D2786">
      <w:pPr>
        <w:pStyle w:val="Nessunaspaziatura"/>
        <w:jc w:val="both"/>
      </w:pPr>
      <w:r w:rsidRPr="0015386F">
        <w:t xml:space="preserve">I </w:t>
      </w:r>
      <w:r>
        <w:t xml:space="preserve">confronti esterni, con regione Lombardia  e Italia, </w:t>
      </w:r>
      <w:r w:rsidRPr="0015386F">
        <w:t xml:space="preserve">mostrano trend </w:t>
      </w:r>
      <w:r>
        <w:t xml:space="preserve">sovrapponibili per </w:t>
      </w:r>
      <w:r w:rsidR="00635114">
        <w:t>tutti i tu</w:t>
      </w:r>
      <w:r w:rsidR="00F742D6">
        <w:t xml:space="preserve">mori esaminati, eccetto </w:t>
      </w:r>
      <w:r w:rsidR="00635114">
        <w:t>lo stomaco che eccede</w:t>
      </w:r>
      <w:r w:rsidR="00A24DAE">
        <w:t xml:space="preserve"> </w:t>
      </w:r>
      <w:r w:rsidR="00B22B3E">
        <w:t>storicamente</w:t>
      </w:r>
      <w:r w:rsidR="00F742D6">
        <w:t xml:space="preserve"> i </w:t>
      </w:r>
      <w:r w:rsidR="00B22B3E">
        <w:t xml:space="preserve"> </w:t>
      </w:r>
      <w:r w:rsidR="00A24DAE">
        <w:t>tassi regionali e nazionali.</w:t>
      </w:r>
    </w:p>
    <w:p w:rsidR="00B22B3E" w:rsidRDefault="00B22B3E" w:rsidP="004D2786">
      <w:pPr>
        <w:pStyle w:val="Nessunaspaziatura"/>
        <w:jc w:val="both"/>
      </w:pPr>
      <w:r>
        <w:t xml:space="preserve">Per il tumore del fegato non è stato condotto il confronto esterno perché non disponibile nella pubblicazione ISTAT </w:t>
      </w:r>
      <w:r w:rsidR="00F742D6">
        <w:t>Heath for All;</w:t>
      </w:r>
      <w:r w:rsidR="00DF5F2F">
        <w:t xml:space="preserve"> si osserva comunque un tre</w:t>
      </w:r>
      <w:r w:rsidR="002A7861">
        <w:t>n</w:t>
      </w:r>
      <w:r w:rsidR="00DF5F2F">
        <w:t>d in leggera flessione per i maschi, st</w:t>
      </w:r>
      <w:r w:rsidR="002A7861">
        <w:t>abile invece nelle femmine</w:t>
      </w:r>
      <w:r w:rsidR="00DF5F2F">
        <w:t xml:space="preserve"> ma con valori decisamente inferiori</w:t>
      </w:r>
      <w:r w:rsidR="00D10C5D">
        <w:t>.</w:t>
      </w:r>
    </w:p>
    <w:p w:rsidR="0015386F" w:rsidRDefault="0015386F" w:rsidP="004D2786">
      <w:pPr>
        <w:pStyle w:val="Nessunaspaziatura"/>
        <w:jc w:val="both"/>
      </w:pPr>
    </w:p>
    <w:p w:rsidR="0015386F" w:rsidRDefault="0015386F" w:rsidP="004D2786">
      <w:pPr>
        <w:pStyle w:val="Nessunaspaziatura"/>
        <w:jc w:val="both"/>
      </w:pPr>
      <w:r>
        <w:rPr>
          <w:noProof/>
          <w:lang w:eastAsia="it-IT"/>
        </w:rPr>
        <w:drawing>
          <wp:inline distT="0" distB="0" distL="0" distR="0" wp14:anchorId="29D9F3FF" wp14:editId="29724BF1">
            <wp:extent cx="3086100" cy="1771650"/>
            <wp:effectExtent l="0" t="0" r="19050" b="19050"/>
            <wp:docPr id="5" name="Gra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noProof/>
          <w:lang w:eastAsia="it-IT"/>
        </w:rPr>
        <w:drawing>
          <wp:inline distT="0" distB="0" distL="0" distR="0" wp14:anchorId="20D81469" wp14:editId="1C93D6A7">
            <wp:extent cx="2990850" cy="1781175"/>
            <wp:effectExtent l="0" t="0" r="19050" b="9525"/>
            <wp:docPr id="6" name="Gra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5386F" w:rsidRDefault="0015386F" w:rsidP="004D2786">
      <w:pPr>
        <w:pStyle w:val="Nessunaspaziatura"/>
        <w:jc w:val="both"/>
      </w:pPr>
    </w:p>
    <w:p w:rsidR="0015386F" w:rsidRDefault="0015386F" w:rsidP="004D2786">
      <w:pPr>
        <w:pStyle w:val="Nessunaspaziatura"/>
        <w:jc w:val="both"/>
      </w:pPr>
      <w:r>
        <w:rPr>
          <w:noProof/>
          <w:lang w:eastAsia="it-IT"/>
        </w:rPr>
        <w:lastRenderedPageBreak/>
        <w:drawing>
          <wp:inline distT="0" distB="0" distL="0" distR="0" wp14:anchorId="6E9E7FF9" wp14:editId="51A05799">
            <wp:extent cx="3048000" cy="1933575"/>
            <wp:effectExtent l="0" t="0" r="19050" b="9525"/>
            <wp:docPr id="7" name="Gra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Pr>
          <w:noProof/>
          <w:lang w:eastAsia="it-IT"/>
        </w:rPr>
        <w:drawing>
          <wp:inline distT="0" distB="0" distL="0" distR="0" wp14:anchorId="0F4D6C77" wp14:editId="2846C994">
            <wp:extent cx="2990850" cy="1933575"/>
            <wp:effectExtent l="0" t="0" r="19050" b="9525"/>
            <wp:docPr id="8" name="Gra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66CFC" w:rsidRDefault="00D66CFC" w:rsidP="004D2786">
      <w:pPr>
        <w:pStyle w:val="Nessunaspaziatura"/>
        <w:jc w:val="both"/>
      </w:pPr>
    </w:p>
    <w:p w:rsidR="00D66CFC" w:rsidRDefault="00D66CFC" w:rsidP="004D2786">
      <w:pPr>
        <w:pStyle w:val="Nessunaspaziatura"/>
        <w:jc w:val="both"/>
      </w:pPr>
      <w:r>
        <w:rPr>
          <w:noProof/>
          <w:lang w:eastAsia="it-IT"/>
        </w:rPr>
        <w:drawing>
          <wp:inline distT="0" distB="0" distL="0" distR="0" wp14:anchorId="3EAFFD05" wp14:editId="008A82E2">
            <wp:extent cx="3048000" cy="2219325"/>
            <wp:effectExtent l="0" t="0" r="19050" b="9525"/>
            <wp:docPr id="12" name="Gra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Pr>
          <w:noProof/>
          <w:lang w:eastAsia="it-IT"/>
        </w:rPr>
        <w:drawing>
          <wp:inline distT="0" distB="0" distL="0" distR="0" wp14:anchorId="5CCBD850" wp14:editId="13366875">
            <wp:extent cx="3038475" cy="2209800"/>
            <wp:effectExtent l="0" t="0" r="9525" b="19050"/>
            <wp:docPr id="13" name="Gra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66CFC" w:rsidRDefault="00D66CFC" w:rsidP="004D2786">
      <w:pPr>
        <w:pStyle w:val="Nessunaspaziatura"/>
        <w:jc w:val="both"/>
      </w:pPr>
    </w:p>
    <w:p w:rsidR="00D66CFC" w:rsidRDefault="00D66CFC" w:rsidP="004D2786">
      <w:pPr>
        <w:pStyle w:val="Nessunaspaziatura"/>
        <w:jc w:val="both"/>
      </w:pPr>
      <w:r>
        <w:rPr>
          <w:noProof/>
          <w:lang w:eastAsia="it-IT"/>
        </w:rPr>
        <w:drawing>
          <wp:inline distT="0" distB="0" distL="0" distR="0" wp14:anchorId="295204F5" wp14:editId="4A94E42D">
            <wp:extent cx="3028950" cy="2038350"/>
            <wp:effectExtent l="0" t="0" r="19050" b="19050"/>
            <wp:docPr id="14" name="Gra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Pr>
          <w:noProof/>
          <w:lang w:eastAsia="it-IT"/>
        </w:rPr>
        <w:drawing>
          <wp:inline distT="0" distB="0" distL="0" distR="0" wp14:anchorId="4D025C87" wp14:editId="6EA47A23">
            <wp:extent cx="3028950" cy="2047875"/>
            <wp:effectExtent l="0" t="0" r="19050" b="9525"/>
            <wp:docPr id="15" name="Gra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92816" w:rsidRDefault="00D92816" w:rsidP="004D2786">
      <w:pPr>
        <w:pStyle w:val="Nessunaspaziatura"/>
        <w:jc w:val="both"/>
      </w:pPr>
    </w:p>
    <w:p w:rsidR="00DF5F2F" w:rsidRDefault="00DF5F2F" w:rsidP="00DF5F2F">
      <w:pPr>
        <w:pStyle w:val="Nessunaspaziatura"/>
        <w:jc w:val="center"/>
      </w:pPr>
      <w:r>
        <w:rPr>
          <w:noProof/>
          <w:lang w:eastAsia="it-IT"/>
        </w:rPr>
        <w:drawing>
          <wp:inline distT="0" distB="0" distL="0" distR="0" wp14:anchorId="36EE7B6A" wp14:editId="76015E28">
            <wp:extent cx="3990975" cy="2076450"/>
            <wp:effectExtent l="0" t="0" r="9525" b="19050"/>
            <wp:docPr id="67" name="Grafico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DF5F2F" w:rsidRDefault="00DF5F2F" w:rsidP="00FB3A74">
      <w:pPr>
        <w:pStyle w:val="Nessunaspaziatura"/>
      </w:pPr>
    </w:p>
    <w:p w:rsidR="00D92816" w:rsidRDefault="00142471" w:rsidP="004D2786">
      <w:pPr>
        <w:pStyle w:val="Nessunaspaziatura"/>
        <w:jc w:val="both"/>
      </w:pPr>
      <w:r>
        <w:t>Riguardo all’incidenza dei tumori maligni, i confronti esterni sono condotti</w:t>
      </w:r>
      <w:r w:rsidR="00A84418">
        <w:t xml:space="preserve"> con la macro regione Nord-Ovest e Italia e sono ricavati dai dati del Pool dei Registri Tumori aderenti alla rete AIRTum, di cui fanno parte anche i registri accreditati di Mantova e Cremona.</w:t>
      </w:r>
    </w:p>
    <w:p w:rsidR="00142471" w:rsidRDefault="00A84418" w:rsidP="004D2786">
      <w:pPr>
        <w:pStyle w:val="Nessunaspaziatura"/>
        <w:jc w:val="both"/>
      </w:pPr>
      <w:r>
        <w:t xml:space="preserve">Come già evidenziato, il dato più significativo è l’eccesso di tumori dello stomaco e del fegato nel territorio cremonese. Per i tumori da screening, </w:t>
      </w:r>
      <w:r w:rsidR="00476035">
        <w:t xml:space="preserve">si osserva comunque che una più elevata incidenza a Mantova, </w:t>
      </w:r>
      <w:r w:rsidR="004644AA">
        <w:t xml:space="preserve">mentre per il tumore </w:t>
      </w:r>
      <w:r w:rsidR="00AE2C35">
        <w:t xml:space="preserve">del polmone </w:t>
      </w:r>
      <w:r w:rsidR="004644AA">
        <w:t>è l’inte</w:t>
      </w:r>
      <w:r w:rsidR="00AE2C35">
        <w:t>r</w:t>
      </w:r>
      <w:r w:rsidR="004644AA">
        <w:t>a ATS a prevalere sui confronti</w:t>
      </w:r>
      <w:r w:rsidR="00910162">
        <w:t>, v</w:t>
      </w:r>
      <w:r w:rsidR="004644AA">
        <w:t xml:space="preserve">iceversa per il </w:t>
      </w:r>
      <w:r>
        <w:t>mesotelioma</w:t>
      </w:r>
      <w:r w:rsidR="00AE2C35">
        <w:t>.</w:t>
      </w:r>
    </w:p>
    <w:p w:rsidR="007D6140" w:rsidRDefault="007D6140" w:rsidP="004D2786">
      <w:pPr>
        <w:pStyle w:val="Nessunaspaziatura"/>
        <w:jc w:val="both"/>
      </w:pPr>
    </w:p>
    <w:p w:rsidR="007D6140" w:rsidRDefault="00236BA0" w:rsidP="004D2786">
      <w:pPr>
        <w:pStyle w:val="Nessunaspaziatura"/>
        <w:jc w:val="both"/>
      </w:pPr>
      <w:r>
        <w:rPr>
          <w:noProof/>
          <w:lang w:eastAsia="it-IT"/>
        </w:rPr>
        <w:drawing>
          <wp:inline distT="0" distB="0" distL="0" distR="0" wp14:anchorId="2D861DC4" wp14:editId="0D30BE00">
            <wp:extent cx="4048125" cy="2447925"/>
            <wp:effectExtent l="0" t="0" r="9525" b="9525"/>
            <wp:docPr id="31" name="Gra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D92816" w:rsidRDefault="00D92816" w:rsidP="004D2786">
      <w:pPr>
        <w:pStyle w:val="Nessunaspaziatura"/>
        <w:jc w:val="both"/>
      </w:pPr>
    </w:p>
    <w:p w:rsidR="00D92816" w:rsidRDefault="007D6140" w:rsidP="004D2786">
      <w:pPr>
        <w:pStyle w:val="Nessunaspaziatura"/>
        <w:jc w:val="both"/>
      </w:pPr>
      <w:r>
        <w:rPr>
          <w:noProof/>
          <w:lang w:eastAsia="it-IT"/>
        </w:rPr>
        <w:drawing>
          <wp:inline distT="0" distB="0" distL="0" distR="0" wp14:anchorId="21F5B8A7" wp14:editId="6AB9B06A">
            <wp:extent cx="3048000" cy="1866900"/>
            <wp:effectExtent l="0" t="0" r="19050" b="19050"/>
            <wp:docPr id="29" name="Gra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Pr>
          <w:noProof/>
          <w:lang w:eastAsia="it-IT"/>
        </w:rPr>
        <w:drawing>
          <wp:inline distT="0" distB="0" distL="0" distR="0" wp14:anchorId="70B1B2DD" wp14:editId="6C27B8C0">
            <wp:extent cx="2962275" cy="1876425"/>
            <wp:effectExtent l="0" t="0" r="9525" b="9525"/>
            <wp:docPr id="30" name="Gra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92816" w:rsidRDefault="00D92816" w:rsidP="004D2786">
      <w:pPr>
        <w:pStyle w:val="Nessunaspaziatura"/>
        <w:jc w:val="both"/>
      </w:pPr>
    </w:p>
    <w:p w:rsidR="00D92816" w:rsidRDefault="00662013" w:rsidP="004D2786">
      <w:pPr>
        <w:pStyle w:val="Nessunaspaziatura"/>
        <w:jc w:val="both"/>
      </w:pPr>
      <w:r>
        <w:rPr>
          <w:noProof/>
          <w:lang w:eastAsia="it-IT"/>
        </w:rPr>
        <w:drawing>
          <wp:inline distT="0" distB="0" distL="0" distR="0" wp14:anchorId="4AE79051" wp14:editId="309842ED">
            <wp:extent cx="3152775" cy="2171700"/>
            <wp:effectExtent l="0" t="0" r="9525" b="19050"/>
            <wp:docPr id="34" name="Gra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0081478A">
        <w:rPr>
          <w:noProof/>
          <w:lang w:eastAsia="it-IT"/>
        </w:rPr>
        <w:drawing>
          <wp:inline distT="0" distB="0" distL="0" distR="0" wp14:anchorId="5C4C4D38" wp14:editId="763B565A">
            <wp:extent cx="2895600" cy="2181225"/>
            <wp:effectExtent l="0" t="0" r="19050" b="9525"/>
            <wp:docPr id="33" name="Gra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92816" w:rsidRDefault="00D92816" w:rsidP="004D2786">
      <w:pPr>
        <w:pStyle w:val="Nessunaspaziatura"/>
        <w:jc w:val="both"/>
      </w:pPr>
    </w:p>
    <w:p w:rsidR="00D92816" w:rsidRDefault="00DA36D7" w:rsidP="004D2786">
      <w:pPr>
        <w:pStyle w:val="Nessunaspaziatura"/>
        <w:jc w:val="both"/>
      </w:pPr>
      <w:r>
        <w:rPr>
          <w:noProof/>
          <w:lang w:eastAsia="it-IT"/>
        </w:rPr>
        <w:lastRenderedPageBreak/>
        <w:drawing>
          <wp:inline distT="0" distB="0" distL="0" distR="0" wp14:anchorId="5D6CA1F2" wp14:editId="2B8DA64B">
            <wp:extent cx="3162300" cy="2143125"/>
            <wp:effectExtent l="0" t="0" r="19050" b="9525"/>
            <wp:docPr id="41" name="Gra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Pr>
          <w:noProof/>
          <w:lang w:eastAsia="it-IT"/>
        </w:rPr>
        <w:drawing>
          <wp:inline distT="0" distB="0" distL="0" distR="0" wp14:anchorId="74315BDE" wp14:editId="249E3E93">
            <wp:extent cx="2914650" cy="2143125"/>
            <wp:effectExtent l="0" t="0" r="19050" b="9525"/>
            <wp:docPr id="52" name="Grafico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92816" w:rsidRDefault="00D92816" w:rsidP="004D2786">
      <w:pPr>
        <w:pStyle w:val="Nessunaspaziatura"/>
        <w:jc w:val="both"/>
      </w:pPr>
    </w:p>
    <w:p w:rsidR="00FB3A74" w:rsidRDefault="00FB3A74"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4577B6" w:rsidRDefault="004577B6" w:rsidP="004D2786">
      <w:pPr>
        <w:pStyle w:val="Nessunaspaziatura"/>
        <w:jc w:val="both"/>
        <w:rPr>
          <w:b/>
        </w:rPr>
      </w:pPr>
    </w:p>
    <w:p w:rsidR="00D92816" w:rsidRPr="00114EE6" w:rsidRDefault="00114EE6" w:rsidP="004D2786">
      <w:pPr>
        <w:pStyle w:val="Nessunaspaziatura"/>
        <w:jc w:val="both"/>
        <w:rPr>
          <w:b/>
          <w:u w:val="single"/>
        </w:rPr>
      </w:pPr>
      <w:r w:rsidRPr="00114EE6">
        <w:rPr>
          <w:b/>
          <w:u w:val="single"/>
        </w:rPr>
        <w:lastRenderedPageBreak/>
        <w:t>Le patologie croniche</w:t>
      </w:r>
    </w:p>
    <w:p w:rsidR="00D92816" w:rsidRDefault="00D92816" w:rsidP="004D2786">
      <w:pPr>
        <w:pStyle w:val="Nessunaspaziatura"/>
        <w:jc w:val="both"/>
        <w:rPr>
          <w:b/>
        </w:rPr>
      </w:pPr>
    </w:p>
    <w:p w:rsidR="006D35EF" w:rsidRPr="00D860D1" w:rsidRDefault="00515CEE" w:rsidP="00D92816">
      <w:pPr>
        <w:spacing w:after="0" w:line="240" w:lineRule="auto"/>
        <w:jc w:val="both"/>
        <w:rPr>
          <w:rFonts w:cs="Arial"/>
          <w:b/>
        </w:rPr>
      </w:pPr>
      <w:r w:rsidRPr="00D860D1">
        <w:rPr>
          <w:rFonts w:cs="Arial"/>
          <w:b/>
        </w:rPr>
        <w:t>La Patologia c</w:t>
      </w:r>
      <w:r w:rsidR="00D92816" w:rsidRPr="00D860D1">
        <w:rPr>
          <w:rFonts w:cs="Arial"/>
          <w:b/>
        </w:rPr>
        <w:t>ardio-circolatoria</w:t>
      </w:r>
    </w:p>
    <w:p w:rsidR="00D92816" w:rsidRPr="00D860D1" w:rsidRDefault="00D92816" w:rsidP="00D92816">
      <w:pPr>
        <w:spacing w:after="0" w:line="240" w:lineRule="auto"/>
        <w:jc w:val="both"/>
        <w:rPr>
          <w:rFonts w:cs="Arial"/>
        </w:rPr>
      </w:pPr>
      <w:r w:rsidRPr="00D860D1">
        <w:rPr>
          <w:rFonts w:cs="Arial"/>
        </w:rPr>
        <w:t xml:space="preserve">La mortalità è più elevata a Mantova sia nei maschi che nelle femmine, </w:t>
      </w:r>
      <w:r w:rsidR="006D35EF" w:rsidRPr="00D860D1">
        <w:rPr>
          <w:rFonts w:cs="Arial"/>
        </w:rPr>
        <w:t>come la prevalenza</w:t>
      </w:r>
    </w:p>
    <w:p w:rsidR="00D92816" w:rsidRPr="00D860D1" w:rsidRDefault="00D92816" w:rsidP="00D92816">
      <w:pPr>
        <w:spacing w:after="0" w:line="240" w:lineRule="auto"/>
        <w:jc w:val="both"/>
        <w:rPr>
          <w:rFonts w:cs="Arial"/>
        </w:rPr>
      </w:pPr>
      <w:r w:rsidRPr="00D860D1">
        <w:rPr>
          <w:rFonts w:cs="Arial"/>
        </w:rPr>
        <w:t xml:space="preserve">Scendendo nel dettaglio, la mortalità per </w:t>
      </w:r>
      <w:r w:rsidRPr="00D860D1">
        <w:rPr>
          <w:rFonts w:cs="Arial"/>
          <w:i/>
        </w:rPr>
        <w:t>infarto</w:t>
      </w:r>
      <w:r w:rsidRPr="00D860D1">
        <w:rPr>
          <w:rFonts w:cs="Arial"/>
        </w:rPr>
        <w:t xml:space="preserve"> è maggiore a Crema in entrambi i sessi rispetto a Mantova. Mediana la posizione di Cremona.</w:t>
      </w:r>
    </w:p>
    <w:p w:rsidR="00D92816" w:rsidRPr="00D860D1" w:rsidRDefault="00D92816" w:rsidP="00D92816">
      <w:pPr>
        <w:spacing w:after="0" w:line="240" w:lineRule="auto"/>
        <w:rPr>
          <w:rFonts w:cs="Arial"/>
        </w:rPr>
      </w:pPr>
    </w:p>
    <w:p w:rsidR="00D10C5D" w:rsidRPr="00D860D1" w:rsidRDefault="00D10C5D" w:rsidP="00D10C5D">
      <w:pPr>
        <w:spacing w:after="0" w:line="240" w:lineRule="auto"/>
        <w:rPr>
          <w:rFonts w:cs="Arial"/>
          <w:b/>
        </w:rPr>
      </w:pPr>
      <w:r w:rsidRPr="00D860D1">
        <w:rPr>
          <w:rFonts w:cs="Arial"/>
          <w:b/>
        </w:rPr>
        <w:t>Patologie correlate alla patologia cardio-circolatoria</w:t>
      </w:r>
    </w:p>
    <w:p w:rsidR="00D10C5D" w:rsidRPr="00D92816" w:rsidRDefault="00D10C5D" w:rsidP="00D10C5D">
      <w:pPr>
        <w:spacing w:after="0" w:line="240" w:lineRule="auto"/>
        <w:jc w:val="both"/>
        <w:rPr>
          <w:rFonts w:cs="Arial"/>
        </w:rPr>
      </w:pPr>
      <w:r w:rsidRPr="00D860D1">
        <w:rPr>
          <w:rFonts w:cs="Arial"/>
          <w:i/>
        </w:rPr>
        <w:t>Diabete</w:t>
      </w:r>
      <w:r w:rsidRPr="00D860D1">
        <w:rPr>
          <w:rFonts w:cs="Arial"/>
        </w:rPr>
        <w:t xml:space="preserve"> e </w:t>
      </w:r>
      <w:r w:rsidRPr="00D860D1">
        <w:rPr>
          <w:rFonts w:cs="Arial"/>
          <w:i/>
        </w:rPr>
        <w:t>insufficienza renale</w:t>
      </w:r>
      <w:r w:rsidRPr="00D860D1">
        <w:rPr>
          <w:rFonts w:cs="Arial"/>
        </w:rPr>
        <w:t xml:space="preserve"> sono nettamente più frequenti a Mantova dove raggiungono anche la</w:t>
      </w:r>
      <w:r w:rsidRPr="00D92816">
        <w:rPr>
          <w:rFonts w:cs="Arial"/>
        </w:rPr>
        <w:t xml:space="preserve"> significatività statistica e verosimilmente si pongono rispettivamente come causa ed effetto del grande gruppo di patologia cardio-circolatoria.</w:t>
      </w:r>
    </w:p>
    <w:p w:rsidR="004644AA" w:rsidRDefault="004644AA" w:rsidP="004D2786">
      <w:pPr>
        <w:pStyle w:val="Nessunaspaziatura"/>
        <w:jc w:val="both"/>
        <w:rPr>
          <w:b/>
        </w:rPr>
      </w:pPr>
    </w:p>
    <w:tbl>
      <w:tblPr>
        <w:tblW w:w="9723" w:type="dxa"/>
        <w:tblInd w:w="55" w:type="dxa"/>
        <w:tblCellMar>
          <w:left w:w="70" w:type="dxa"/>
          <w:right w:w="70" w:type="dxa"/>
        </w:tblCellMar>
        <w:tblLook w:val="04A0" w:firstRow="1" w:lastRow="0" w:firstColumn="1" w:lastColumn="0" w:noHBand="0" w:noVBand="1"/>
      </w:tblPr>
      <w:tblGrid>
        <w:gridCol w:w="4959"/>
        <w:gridCol w:w="16"/>
        <w:gridCol w:w="4748"/>
      </w:tblGrid>
      <w:tr w:rsidR="00D92816" w:rsidRPr="006123B0" w:rsidTr="00FB3A74">
        <w:trPr>
          <w:trHeight w:val="375"/>
        </w:trPr>
        <w:tc>
          <w:tcPr>
            <w:tcW w:w="4876" w:type="dxa"/>
            <w:gridSpan w:val="2"/>
            <w:shd w:val="clear" w:color="auto" w:fill="auto"/>
            <w:noWrap/>
            <w:vAlign w:val="bottom"/>
            <w:hideMark/>
          </w:tcPr>
          <w:p w:rsidR="00D92816" w:rsidRPr="006123B0" w:rsidRDefault="006D35EF" w:rsidP="00E7192E">
            <w:pPr>
              <w:spacing w:after="0" w:line="240" w:lineRule="auto"/>
              <w:rPr>
                <w:rFonts w:ascii="Arial" w:eastAsia="Times New Roman" w:hAnsi="Arial" w:cs="Arial"/>
                <w:color w:val="000000"/>
                <w:lang w:eastAsia="it-IT"/>
              </w:rPr>
            </w:pPr>
            <w:r>
              <w:rPr>
                <w:noProof/>
                <w:lang w:eastAsia="it-IT"/>
              </w:rPr>
              <w:drawing>
                <wp:inline distT="0" distB="0" distL="0" distR="0" wp14:anchorId="2E3628F4" wp14:editId="6ECDE511">
                  <wp:extent cx="3143250" cy="2343150"/>
                  <wp:effectExtent l="0" t="0" r="19050" b="19050"/>
                  <wp:docPr id="20" name="Gra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4847" w:type="dxa"/>
            <w:shd w:val="clear" w:color="auto" w:fill="auto"/>
            <w:noWrap/>
            <w:vAlign w:val="bottom"/>
            <w:hideMark/>
          </w:tcPr>
          <w:p w:rsidR="00D92816" w:rsidRPr="006123B0" w:rsidRDefault="00D92816"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6D35EF">
              <w:rPr>
                <w:noProof/>
                <w:lang w:eastAsia="it-IT"/>
              </w:rPr>
              <w:drawing>
                <wp:inline distT="0" distB="0" distL="0" distR="0" wp14:anchorId="6BD9A181" wp14:editId="1715B419">
                  <wp:extent cx="2933700" cy="2352675"/>
                  <wp:effectExtent l="0" t="0" r="19050" b="9525"/>
                  <wp:docPr id="64" name="Grafico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D92816" w:rsidRPr="006123B0" w:rsidTr="00FB3A74">
        <w:trPr>
          <w:trHeight w:val="375"/>
        </w:trPr>
        <w:tc>
          <w:tcPr>
            <w:tcW w:w="4876" w:type="dxa"/>
            <w:gridSpan w:val="2"/>
            <w:shd w:val="clear" w:color="auto" w:fill="auto"/>
            <w:noWrap/>
            <w:vAlign w:val="bottom"/>
            <w:hideMark/>
          </w:tcPr>
          <w:p w:rsidR="00D92816" w:rsidRPr="006123B0" w:rsidRDefault="00D92816"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6D35EF">
              <w:rPr>
                <w:noProof/>
                <w:lang w:eastAsia="it-IT"/>
              </w:rPr>
              <w:drawing>
                <wp:inline distT="0" distB="0" distL="0" distR="0" wp14:anchorId="36AADBA7" wp14:editId="53B974D3">
                  <wp:extent cx="3105150" cy="2057400"/>
                  <wp:effectExtent l="0" t="0" r="19050" b="19050"/>
                  <wp:docPr id="21" name="Gra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c>
          <w:tcPr>
            <w:tcW w:w="4847" w:type="dxa"/>
            <w:shd w:val="clear" w:color="auto" w:fill="auto"/>
            <w:noWrap/>
            <w:vAlign w:val="bottom"/>
            <w:hideMark/>
          </w:tcPr>
          <w:p w:rsidR="00D92816" w:rsidRPr="006123B0" w:rsidRDefault="00D92816"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p>
        </w:tc>
      </w:tr>
      <w:tr w:rsidR="00D92816" w:rsidRPr="006123B0" w:rsidTr="00E7192E">
        <w:trPr>
          <w:trHeight w:val="375"/>
        </w:trPr>
        <w:tc>
          <w:tcPr>
            <w:tcW w:w="4861" w:type="dxa"/>
            <w:shd w:val="clear" w:color="auto" w:fill="auto"/>
            <w:noWrap/>
            <w:vAlign w:val="bottom"/>
            <w:hideMark/>
          </w:tcPr>
          <w:p w:rsidR="00D92816" w:rsidRPr="006123B0" w:rsidRDefault="00D92816"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0D56BA">
              <w:rPr>
                <w:noProof/>
                <w:lang w:eastAsia="it-IT"/>
              </w:rPr>
              <w:drawing>
                <wp:inline distT="0" distB="0" distL="0" distR="0" wp14:anchorId="4E716107" wp14:editId="6EA436B6">
                  <wp:extent cx="3143250" cy="1809750"/>
                  <wp:effectExtent l="0" t="0" r="19050" b="19050"/>
                  <wp:docPr id="62" name="Grafico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c>
          <w:tcPr>
            <w:tcW w:w="4862" w:type="dxa"/>
            <w:gridSpan w:val="2"/>
            <w:shd w:val="clear" w:color="auto" w:fill="auto"/>
            <w:noWrap/>
            <w:vAlign w:val="bottom"/>
            <w:hideMark/>
          </w:tcPr>
          <w:p w:rsidR="00D92816" w:rsidRPr="006123B0" w:rsidRDefault="00D92816"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r w:rsidR="0018245C">
              <w:rPr>
                <w:noProof/>
                <w:lang w:eastAsia="it-IT"/>
              </w:rPr>
              <w:drawing>
                <wp:inline distT="0" distB="0" distL="0" distR="0" wp14:anchorId="2CD3D6E9" wp14:editId="55E8669C">
                  <wp:extent cx="3019425" cy="1809750"/>
                  <wp:effectExtent l="0" t="0" r="9525" b="19050"/>
                  <wp:docPr id="63" name="Grafico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D92816" w:rsidRDefault="00D92816" w:rsidP="004D2786">
      <w:pPr>
        <w:pStyle w:val="Nessunaspaziatura"/>
        <w:jc w:val="both"/>
        <w:rPr>
          <w:b/>
        </w:rPr>
      </w:pPr>
    </w:p>
    <w:p w:rsidR="00F75B6D" w:rsidRDefault="00F75B6D" w:rsidP="004D2786">
      <w:pPr>
        <w:pStyle w:val="Nessunaspaziatura"/>
        <w:jc w:val="both"/>
      </w:pPr>
    </w:p>
    <w:p w:rsidR="00CB5E48" w:rsidRPr="00CB5E48" w:rsidRDefault="00CB5E48" w:rsidP="004D2786">
      <w:pPr>
        <w:pStyle w:val="Nessunaspaziatura"/>
        <w:jc w:val="both"/>
      </w:pPr>
      <w:r w:rsidRPr="00CB5E48">
        <w:t xml:space="preserve">La mortalità per patologie </w:t>
      </w:r>
      <w:r w:rsidR="00541FCE">
        <w:t>del sistema cardio-circolatorio,  disaggregata</w:t>
      </w:r>
      <w:r w:rsidRPr="00CB5E48">
        <w:t xml:space="preserve"> per sesso e fasce di età, mostra una prevalenza percentuale maggiore negli uomini in età giovane-adulta rispetto alle donne.</w:t>
      </w:r>
    </w:p>
    <w:p w:rsidR="00CB5E48" w:rsidRDefault="00CB5E48" w:rsidP="004D2786">
      <w:pPr>
        <w:pStyle w:val="Nessunaspaziatura"/>
        <w:jc w:val="both"/>
        <w:rPr>
          <w:b/>
        </w:rPr>
      </w:pPr>
    </w:p>
    <w:p w:rsidR="00CB5E48" w:rsidRDefault="00CB5E48" w:rsidP="004D2786">
      <w:pPr>
        <w:pStyle w:val="Nessunaspaziatura"/>
        <w:jc w:val="both"/>
        <w:rPr>
          <w:b/>
        </w:rPr>
      </w:pPr>
      <w:r>
        <w:rPr>
          <w:noProof/>
          <w:lang w:eastAsia="it-IT"/>
        </w:rPr>
        <w:drawing>
          <wp:inline distT="0" distB="0" distL="0" distR="0" wp14:anchorId="3B624FAF" wp14:editId="4597C5AA">
            <wp:extent cx="3028950" cy="2066925"/>
            <wp:effectExtent l="0" t="0" r="19050" b="9525"/>
            <wp:docPr id="16" name="Gra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noProof/>
          <w:lang w:eastAsia="it-IT"/>
        </w:rPr>
        <w:drawing>
          <wp:inline distT="0" distB="0" distL="0" distR="0" wp14:anchorId="6A86E378" wp14:editId="53D17531">
            <wp:extent cx="3028950" cy="2066925"/>
            <wp:effectExtent l="0" t="0" r="19050" b="9525"/>
            <wp:docPr id="19" name="Gra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CB5E48" w:rsidRDefault="00CB5E48" w:rsidP="004D2786">
      <w:pPr>
        <w:pStyle w:val="Nessunaspaziatura"/>
        <w:jc w:val="both"/>
        <w:rPr>
          <w:b/>
        </w:rPr>
      </w:pPr>
    </w:p>
    <w:p w:rsidR="00CB5E48" w:rsidRDefault="00CB5E48" w:rsidP="004D2786">
      <w:pPr>
        <w:pStyle w:val="Nessunaspaziatura"/>
        <w:jc w:val="both"/>
      </w:pPr>
      <w:r w:rsidRPr="00CB5E48">
        <w:t>Nel confronto regionale e nazionale, i tassi di mortalità ATS si discostano</w:t>
      </w:r>
      <w:r w:rsidR="0002212E">
        <w:t xml:space="preserve"> in eccesso </w:t>
      </w:r>
      <w:r w:rsidRPr="00CB5E48">
        <w:t xml:space="preserve"> </w:t>
      </w:r>
      <w:r w:rsidR="0095393B">
        <w:t>soltanto di mi</w:t>
      </w:r>
      <w:r w:rsidR="0002212E">
        <w:t>sura dal riferimento regionale.</w:t>
      </w:r>
    </w:p>
    <w:p w:rsidR="009A3C15" w:rsidRPr="005F3BE4" w:rsidRDefault="009A3C15" w:rsidP="004D2786">
      <w:pPr>
        <w:pStyle w:val="Nessunaspaziatura"/>
        <w:jc w:val="both"/>
      </w:pPr>
    </w:p>
    <w:p w:rsidR="00CB5E48" w:rsidRDefault="00CB5E48" w:rsidP="004D2786">
      <w:pPr>
        <w:pStyle w:val="Nessunaspaziatura"/>
        <w:jc w:val="both"/>
        <w:rPr>
          <w:b/>
        </w:rPr>
      </w:pPr>
      <w:r>
        <w:rPr>
          <w:noProof/>
          <w:lang w:eastAsia="it-IT"/>
        </w:rPr>
        <w:drawing>
          <wp:inline distT="0" distB="0" distL="0" distR="0" wp14:anchorId="2589C9A5" wp14:editId="3209878C">
            <wp:extent cx="3038475" cy="2200275"/>
            <wp:effectExtent l="0" t="0" r="9525" b="9525"/>
            <wp:docPr id="22" name="Gra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Pr>
          <w:noProof/>
          <w:lang w:eastAsia="it-IT"/>
        </w:rPr>
        <w:drawing>
          <wp:inline distT="0" distB="0" distL="0" distR="0" wp14:anchorId="32A1E013" wp14:editId="071E070E">
            <wp:extent cx="2943225" cy="2190750"/>
            <wp:effectExtent l="0" t="0" r="9525" b="19050"/>
            <wp:docPr id="23" name="Gra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B62140" w:rsidRPr="0010623F" w:rsidRDefault="00B62140" w:rsidP="004D2786">
      <w:pPr>
        <w:pStyle w:val="Nessunaspaziatura"/>
        <w:jc w:val="both"/>
      </w:pPr>
    </w:p>
    <w:p w:rsidR="00B62140" w:rsidRPr="0010623F" w:rsidRDefault="0010623F" w:rsidP="004D2786">
      <w:pPr>
        <w:pStyle w:val="Nessunaspaziatura"/>
        <w:jc w:val="both"/>
      </w:pPr>
      <w:r w:rsidRPr="0010623F">
        <w:t xml:space="preserve">La prevalenza della patologia </w:t>
      </w:r>
      <w:r w:rsidR="009A3C15">
        <w:t>cardio-circolatoria</w:t>
      </w:r>
      <w:r w:rsidRPr="0010623F">
        <w:t xml:space="preserve"> disaggregata per classi di età, genere e distretti ATS risulta dall</w:t>
      </w:r>
      <w:r w:rsidR="009C4D9D">
        <w:t xml:space="preserve">e tabelle </w:t>
      </w:r>
      <w:r w:rsidR="009A3C15">
        <w:t>che seguono riportanti  numero di casi e tassi età specifici x1000.</w:t>
      </w:r>
    </w:p>
    <w:p w:rsidR="003925DE" w:rsidRDefault="0010623F" w:rsidP="004D2786">
      <w:pPr>
        <w:pStyle w:val="Nessunaspaziatura"/>
        <w:jc w:val="both"/>
      </w:pPr>
      <w:r w:rsidRPr="0010623F">
        <w:t>Al fine di megli</w:t>
      </w:r>
      <w:r>
        <w:t>o</w:t>
      </w:r>
      <w:r w:rsidRPr="0010623F">
        <w:t xml:space="preserve"> evidenziare il target giovane –adulto (con età &lt;65 anni)</w:t>
      </w:r>
      <w:r>
        <w:t xml:space="preserve"> </w:t>
      </w:r>
      <w:r w:rsidR="00E76202">
        <w:t>interes</w:t>
      </w:r>
      <w:r w:rsidR="009A3C15">
        <w:t>sato dalle patologie in studio e su cu</w:t>
      </w:r>
      <w:r w:rsidR="003925DE">
        <w:t>i risulta</w:t>
      </w:r>
      <w:r w:rsidR="00F742D6">
        <w:t xml:space="preserve"> più efficace l’azione </w:t>
      </w:r>
      <w:r w:rsidR="003925DE">
        <w:t xml:space="preserve">preventiva, in termini di riduzione relativa di anni di vita persi, </w:t>
      </w:r>
      <w:r>
        <w:t xml:space="preserve">si sono rappresentati i tassi </w:t>
      </w:r>
      <w:r w:rsidR="00F742D6">
        <w:t>età-</w:t>
      </w:r>
      <w:r>
        <w:t>specifici anche in grafico</w:t>
      </w:r>
      <w:r w:rsidR="00F742D6">
        <w:t>,</w:t>
      </w:r>
      <w:r w:rsidR="003925DE">
        <w:t xml:space="preserve"> escludend</w:t>
      </w:r>
      <w:r w:rsidR="00F742D6">
        <w:t>o le classi di età più avanzate</w:t>
      </w:r>
      <w:r w:rsidR="003925DE">
        <w:t xml:space="preserve"> 75+</w:t>
      </w:r>
      <w:r w:rsidR="00F742D6">
        <w:t xml:space="preserve"> dove </w:t>
      </w:r>
      <w:r w:rsidR="003925DE">
        <w:t xml:space="preserve"> ogni differenza tende ad appiattirsi.</w:t>
      </w:r>
    </w:p>
    <w:p w:rsidR="009C4D9D" w:rsidRDefault="003925DE" w:rsidP="004D2786">
      <w:pPr>
        <w:pStyle w:val="Nessunaspaziatura"/>
        <w:jc w:val="both"/>
      </w:pPr>
      <w:r>
        <w:t>Così procedendo,</w:t>
      </w:r>
      <w:r w:rsidR="009A3C15">
        <w:t xml:space="preserve"> emerge con </w:t>
      </w:r>
      <w:r>
        <w:t>maggiore</w:t>
      </w:r>
      <w:r w:rsidR="009A3C15">
        <w:t xml:space="preserve"> evidenza come</w:t>
      </w:r>
      <w:r w:rsidR="00E7192E">
        <w:t xml:space="preserve"> </w:t>
      </w:r>
      <w:r w:rsidR="00DC15BE">
        <w:t>i</w:t>
      </w:r>
      <w:r w:rsidR="00F742D6">
        <w:t xml:space="preserve"> tassi età-</w:t>
      </w:r>
      <w:r w:rsidR="00E7192E">
        <w:t>specifici delle cardio</w:t>
      </w:r>
      <w:r w:rsidR="00B7428A">
        <w:t>patie nelle classi di età pediatrica e gio</w:t>
      </w:r>
      <w:r w:rsidR="00F742D6">
        <w:t>vane (</w:t>
      </w:r>
      <w:r w:rsidR="00B7428A">
        <w:t xml:space="preserve"> 0-29 anni</w:t>
      </w:r>
      <w:r w:rsidR="00F742D6">
        <w:t>)</w:t>
      </w:r>
      <w:r w:rsidR="00B7428A">
        <w:t xml:space="preserve"> </w:t>
      </w:r>
      <w:r>
        <w:t xml:space="preserve">siano elevati </w:t>
      </w:r>
      <w:r w:rsidR="00B7428A">
        <w:t xml:space="preserve"> a Cremona</w:t>
      </w:r>
      <w:r>
        <w:t xml:space="preserve">, ma </w:t>
      </w:r>
      <w:r w:rsidR="00B7428A">
        <w:t>soprattutto a Mantova</w:t>
      </w:r>
      <w:r>
        <w:t>,</w:t>
      </w:r>
      <w:r w:rsidR="00B7428A">
        <w:t xml:space="preserve"> </w:t>
      </w:r>
      <w:r>
        <w:t xml:space="preserve">suggerendo quindi una rilevanza della componente attribuibile alle </w:t>
      </w:r>
      <w:r w:rsidR="00B7428A">
        <w:t xml:space="preserve"> cardiopatie congenite</w:t>
      </w:r>
      <w:r>
        <w:t>.</w:t>
      </w:r>
    </w:p>
    <w:p w:rsidR="003925DE" w:rsidRDefault="003925DE" w:rsidP="004D2786">
      <w:pPr>
        <w:pStyle w:val="Nessunaspaziatura"/>
        <w:jc w:val="both"/>
      </w:pPr>
      <w:r>
        <w:t>Interessante osservare invece la situazione di Crema, estranea a questo fenomeno</w:t>
      </w:r>
      <w:r w:rsidR="00F742D6">
        <w:t>.</w:t>
      </w:r>
    </w:p>
    <w:p w:rsidR="003925DE" w:rsidRDefault="003925DE" w:rsidP="004D2786">
      <w:pPr>
        <w:pStyle w:val="Nessunaspaziatura"/>
        <w:jc w:val="both"/>
      </w:pPr>
    </w:p>
    <w:p w:rsidR="00F75B6D" w:rsidRDefault="00F75B6D" w:rsidP="004D2786">
      <w:pPr>
        <w:pStyle w:val="Nessunaspaziatura"/>
        <w:jc w:val="both"/>
      </w:pPr>
    </w:p>
    <w:p w:rsidR="00F75B6D" w:rsidRDefault="00F75B6D" w:rsidP="004D2786">
      <w:pPr>
        <w:pStyle w:val="Nessunaspaziatura"/>
        <w:jc w:val="both"/>
      </w:pPr>
    </w:p>
    <w:p w:rsidR="00F75B6D" w:rsidRDefault="00F75B6D" w:rsidP="004D2786">
      <w:pPr>
        <w:pStyle w:val="Nessunaspaziatura"/>
        <w:jc w:val="both"/>
      </w:pPr>
    </w:p>
    <w:p w:rsidR="00F75B6D" w:rsidRDefault="00F75B6D" w:rsidP="004D2786">
      <w:pPr>
        <w:pStyle w:val="Nessunaspaziatura"/>
        <w:jc w:val="both"/>
      </w:pPr>
    </w:p>
    <w:p w:rsidR="00F75B6D" w:rsidRDefault="00F75B6D" w:rsidP="004D2786">
      <w:pPr>
        <w:pStyle w:val="Nessunaspaziatura"/>
        <w:jc w:val="both"/>
      </w:pPr>
    </w:p>
    <w:p w:rsidR="00F75B6D" w:rsidRDefault="00F75B6D" w:rsidP="004D2786">
      <w:pPr>
        <w:pStyle w:val="Nessunaspaziatura"/>
        <w:jc w:val="both"/>
      </w:pPr>
    </w:p>
    <w:p w:rsidR="00F75B6D" w:rsidRDefault="00F75B6D" w:rsidP="004D2786">
      <w:pPr>
        <w:pStyle w:val="Nessunaspaziatura"/>
        <w:jc w:val="both"/>
      </w:pPr>
    </w:p>
    <w:p w:rsidR="00F75B6D" w:rsidRDefault="00F75B6D" w:rsidP="004D2786">
      <w:pPr>
        <w:pStyle w:val="Nessunaspaziatura"/>
        <w:jc w:val="both"/>
      </w:pPr>
    </w:p>
    <w:tbl>
      <w:tblPr>
        <w:tblW w:w="9622" w:type="dxa"/>
        <w:tblInd w:w="55" w:type="dxa"/>
        <w:tblCellMar>
          <w:left w:w="70" w:type="dxa"/>
          <w:right w:w="70" w:type="dxa"/>
        </w:tblCellMar>
        <w:tblLook w:val="04A0" w:firstRow="1" w:lastRow="0" w:firstColumn="1" w:lastColumn="0" w:noHBand="0" w:noVBand="1"/>
      </w:tblPr>
      <w:tblGrid>
        <w:gridCol w:w="723"/>
        <w:gridCol w:w="1291"/>
        <w:gridCol w:w="852"/>
        <w:gridCol w:w="1006"/>
        <w:gridCol w:w="851"/>
        <w:gridCol w:w="1006"/>
        <w:gridCol w:w="851"/>
        <w:gridCol w:w="1006"/>
        <w:gridCol w:w="1029"/>
        <w:gridCol w:w="1007"/>
      </w:tblGrid>
      <w:tr w:rsidR="00E7192E" w:rsidRPr="009C4D9D" w:rsidTr="005F3BE4">
        <w:trPr>
          <w:trHeight w:val="289"/>
        </w:trPr>
        <w:tc>
          <w:tcPr>
            <w:tcW w:w="9622" w:type="dxa"/>
            <w:gridSpan w:val="10"/>
            <w:tcBorders>
              <w:top w:val="nil"/>
              <w:left w:val="nil"/>
              <w:right w:val="single" w:sz="8" w:space="0" w:color="000000"/>
            </w:tcBorders>
            <w:shd w:val="clear" w:color="auto" w:fill="auto"/>
            <w:noWrap/>
            <w:vAlign w:val="bottom"/>
          </w:tcPr>
          <w:p w:rsidR="00E7192E" w:rsidRPr="009C4D9D" w:rsidRDefault="00E7192E" w:rsidP="009C4D9D">
            <w:pPr>
              <w:spacing w:after="0" w:line="240" w:lineRule="auto"/>
              <w:jc w:val="center"/>
              <w:rPr>
                <w:rFonts w:ascii="Calibri" w:eastAsia="Times New Roman" w:hAnsi="Calibri" w:cs="Times New Roman"/>
                <w:b/>
                <w:bCs/>
                <w:lang w:eastAsia="it-IT"/>
              </w:rPr>
            </w:pPr>
            <w:r>
              <w:rPr>
                <w:rFonts w:ascii="Calibri" w:eastAsia="Times New Roman" w:hAnsi="Calibri" w:cs="Times New Roman"/>
                <w:b/>
                <w:bCs/>
                <w:lang w:eastAsia="it-IT"/>
              </w:rPr>
              <w:t>CARDIOPATIE</w:t>
            </w:r>
          </w:p>
        </w:tc>
      </w:tr>
      <w:tr w:rsidR="00C872F9" w:rsidRPr="009C4D9D" w:rsidTr="005F3BE4">
        <w:trPr>
          <w:trHeight w:val="289"/>
        </w:trPr>
        <w:tc>
          <w:tcPr>
            <w:tcW w:w="723" w:type="dxa"/>
            <w:vMerge w:val="restart"/>
            <w:tcBorders>
              <w:top w:val="nil"/>
              <w:left w:val="nil"/>
              <w:right w:val="single" w:sz="8" w:space="0" w:color="auto"/>
            </w:tcBorders>
            <w:shd w:val="clear" w:color="auto" w:fill="auto"/>
            <w:noWrap/>
            <w:vAlign w:val="bottom"/>
          </w:tcPr>
          <w:p w:rsidR="00C872F9" w:rsidRPr="00C872F9" w:rsidRDefault="005266C7" w:rsidP="00C872F9">
            <w:pPr>
              <w:spacing w:after="0" w:line="240" w:lineRule="auto"/>
              <w:rPr>
                <w:rFonts w:ascii="Calibri" w:eastAsia="Times New Roman" w:hAnsi="Calibri" w:cs="Times New Roman"/>
                <w:b/>
                <w:bCs/>
                <w:lang w:eastAsia="it-IT"/>
              </w:rPr>
            </w:pPr>
            <w:r>
              <w:rPr>
                <w:rFonts w:ascii="Calibri" w:eastAsia="Times New Roman" w:hAnsi="Calibri" w:cs="Times New Roman"/>
                <w:b/>
                <w:bCs/>
                <w:lang w:eastAsia="it-IT"/>
              </w:rPr>
              <w:t>Sesso</w:t>
            </w:r>
            <w:r w:rsidR="00C872F9" w:rsidRPr="00C872F9">
              <w:rPr>
                <w:rFonts w:ascii="Calibri" w:eastAsia="Times New Roman" w:hAnsi="Calibri" w:cs="Times New Roman"/>
                <w:b/>
                <w:bCs/>
                <w:lang w:eastAsia="it-IT"/>
              </w:rPr>
              <w:tab/>
            </w:r>
          </w:p>
        </w:tc>
        <w:tc>
          <w:tcPr>
            <w:tcW w:w="1291" w:type="dxa"/>
            <w:vMerge w:val="restart"/>
            <w:tcBorders>
              <w:top w:val="nil"/>
              <w:left w:val="nil"/>
              <w:right w:val="single" w:sz="8" w:space="0" w:color="auto"/>
            </w:tcBorders>
            <w:shd w:val="clear" w:color="auto" w:fill="auto"/>
            <w:vAlign w:val="bottom"/>
          </w:tcPr>
          <w:p w:rsidR="00C872F9" w:rsidRPr="009C4D9D" w:rsidRDefault="005266C7" w:rsidP="00C872F9">
            <w:pPr>
              <w:spacing w:after="0" w:line="240" w:lineRule="auto"/>
              <w:rPr>
                <w:rFonts w:ascii="Calibri" w:eastAsia="Times New Roman" w:hAnsi="Calibri" w:cs="Times New Roman"/>
                <w:b/>
                <w:bCs/>
                <w:lang w:eastAsia="it-IT"/>
              </w:rPr>
            </w:pPr>
            <w:r>
              <w:rPr>
                <w:rFonts w:ascii="Calibri" w:eastAsia="Times New Roman" w:hAnsi="Calibri" w:cs="Times New Roman"/>
                <w:b/>
                <w:bCs/>
                <w:lang w:eastAsia="it-IT"/>
              </w:rPr>
              <w:t>Classi di età</w:t>
            </w:r>
            <w:r w:rsidR="00C872F9" w:rsidRPr="00C872F9">
              <w:rPr>
                <w:rFonts w:ascii="Calibri" w:eastAsia="Times New Roman" w:hAnsi="Calibri" w:cs="Times New Roman"/>
                <w:b/>
                <w:bCs/>
                <w:lang w:eastAsia="it-IT"/>
              </w:rPr>
              <w:tab/>
            </w:r>
          </w:p>
        </w:tc>
        <w:tc>
          <w:tcPr>
            <w:tcW w:w="1858" w:type="dxa"/>
            <w:gridSpan w:val="2"/>
            <w:tcBorders>
              <w:top w:val="nil"/>
              <w:left w:val="single" w:sz="8" w:space="0" w:color="auto"/>
              <w:bottom w:val="nil"/>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CREMA</w:t>
            </w:r>
          </w:p>
        </w:tc>
        <w:tc>
          <w:tcPr>
            <w:tcW w:w="1857" w:type="dxa"/>
            <w:gridSpan w:val="2"/>
            <w:tcBorders>
              <w:top w:val="nil"/>
              <w:left w:val="nil"/>
              <w:bottom w:val="nil"/>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CREMONA</w:t>
            </w:r>
          </w:p>
        </w:tc>
        <w:tc>
          <w:tcPr>
            <w:tcW w:w="1857" w:type="dxa"/>
            <w:gridSpan w:val="2"/>
            <w:tcBorders>
              <w:top w:val="nil"/>
              <w:left w:val="nil"/>
              <w:bottom w:val="nil"/>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MANTOVA</w:t>
            </w:r>
          </w:p>
        </w:tc>
        <w:tc>
          <w:tcPr>
            <w:tcW w:w="2035" w:type="dxa"/>
            <w:gridSpan w:val="2"/>
            <w:tcBorders>
              <w:top w:val="nil"/>
              <w:left w:val="nil"/>
              <w:bottom w:val="nil"/>
              <w:right w:val="single" w:sz="8" w:space="0" w:color="000000"/>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ATS</w:t>
            </w:r>
          </w:p>
        </w:tc>
      </w:tr>
      <w:tr w:rsidR="00C872F9" w:rsidRPr="009C4D9D" w:rsidTr="005F3BE4">
        <w:trPr>
          <w:trHeight w:val="303"/>
        </w:trPr>
        <w:tc>
          <w:tcPr>
            <w:tcW w:w="723" w:type="dxa"/>
            <w:vMerge/>
            <w:tcBorders>
              <w:left w:val="nil"/>
              <w:bottom w:val="nil"/>
              <w:right w:val="single" w:sz="8" w:space="0" w:color="auto"/>
            </w:tcBorders>
            <w:shd w:val="clear" w:color="auto" w:fill="auto"/>
            <w:noWrap/>
            <w:vAlign w:val="bottom"/>
            <w:hideMark/>
          </w:tcPr>
          <w:p w:rsidR="00C872F9" w:rsidRPr="009C4D9D" w:rsidRDefault="00C872F9" w:rsidP="009C4D9D">
            <w:pPr>
              <w:spacing w:after="0" w:line="240" w:lineRule="auto"/>
              <w:rPr>
                <w:rFonts w:ascii="Calibri" w:eastAsia="Times New Roman" w:hAnsi="Calibri" w:cs="Times New Roman"/>
                <w:b/>
                <w:bCs/>
                <w:lang w:eastAsia="it-IT"/>
              </w:rPr>
            </w:pPr>
          </w:p>
        </w:tc>
        <w:tc>
          <w:tcPr>
            <w:tcW w:w="1291" w:type="dxa"/>
            <w:vMerge/>
            <w:tcBorders>
              <w:left w:val="nil"/>
              <w:bottom w:val="nil"/>
              <w:right w:val="single" w:sz="8" w:space="0" w:color="auto"/>
            </w:tcBorders>
            <w:shd w:val="clear" w:color="auto" w:fill="auto"/>
            <w:vAlign w:val="bottom"/>
          </w:tcPr>
          <w:p w:rsidR="00C872F9" w:rsidRPr="009C4D9D" w:rsidRDefault="00C872F9" w:rsidP="009C4D9D">
            <w:pPr>
              <w:spacing w:after="0" w:line="240" w:lineRule="auto"/>
              <w:rPr>
                <w:rFonts w:ascii="Calibri" w:eastAsia="Times New Roman" w:hAnsi="Calibri" w:cs="Times New Roman"/>
                <w:b/>
                <w:bCs/>
                <w:lang w:eastAsia="it-IT"/>
              </w:rPr>
            </w:pPr>
          </w:p>
        </w:tc>
        <w:tc>
          <w:tcPr>
            <w:tcW w:w="852" w:type="dxa"/>
            <w:tcBorders>
              <w:top w:val="nil"/>
              <w:left w:val="single" w:sz="8" w:space="0" w:color="auto"/>
              <w:bottom w:val="single" w:sz="8" w:space="0" w:color="auto"/>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N</w:t>
            </w:r>
            <w:r w:rsidR="009A3C15">
              <w:rPr>
                <w:rFonts w:ascii="Calibri" w:eastAsia="Times New Roman" w:hAnsi="Calibri" w:cs="Times New Roman"/>
                <w:b/>
                <w:bCs/>
                <w:lang w:eastAsia="it-IT"/>
              </w:rPr>
              <w:t xml:space="preserve"> casi</w:t>
            </w:r>
          </w:p>
        </w:tc>
        <w:tc>
          <w:tcPr>
            <w:tcW w:w="1006" w:type="dxa"/>
            <w:tcBorders>
              <w:top w:val="nil"/>
              <w:left w:val="nil"/>
              <w:bottom w:val="single" w:sz="8" w:space="0" w:color="auto"/>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TASSO</w:t>
            </w:r>
          </w:p>
        </w:tc>
        <w:tc>
          <w:tcPr>
            <w:tcW w:w="851" w:type="dxa"/>
            <w:tcBorders>
              <w:top w:val="nil"/>
              <w:left w:val="nil"/>
              <w:bottom w:val="single" w:sz="8" w:space="0" w:color="auto"/>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N</w:t>
            </w:r>
            <w:r w:rsidR="009A3C15">
              <w:rPr>
                <w:rFonts w:ascii="Calibri" w:eastAsia="Times New Roman" w:hAnsi="Calibri" w:cs="Times New Roman"/>
                <w:b/>
                <w:bCs/>
                <w:lang w:eastAsia="it-IT"/>
              </w:rPr>
              <w:t xml:space="preserve"> casi</w:t>
            </w:r>
          </w:p>
        </w:tc>
        <w:tc>
          <w:tcPr>
            <w:tcW w:w="1006" w:type="dxa"/>
            <w:tcBorders>
              <w:top w:val="nil"/>
              <w:left w:val="nil"/>
              <w:bottom w:val="single" w:sz="8" w:space="0" w:color="auto"/>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TASSO</w:t>
            </w:r>
          </w:p>
        </w:tc>
        <w:tc>
          <w:tcPr>
            <w:tcW w:w="851" w:type="dxa"/>
            <w:tcBorders>
              <w:top w:val="nil"/>
              <w:left w:val="nil"/>
              <w:bottom w:val="single" w:sz="8" w:space="0" w:color="auto"/>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N</w:t>
            </w:r>
            <w:r w:rsidR="009A3C15">
              <w:rPr>
                <w:rFonts w:ascii="Calibri" w:eastAsia="Times New Roman" w:hAnsi="Calibri" w:cs="Times New Roman"/>
                <w:b/>
                <w:bCs/>
                <w:lang w:eastAsia="it-IT"/>
              </w:rPr>
              <w:t xml:space="preserve"> casi</w:t>
            </w:r>
          </w:p>
        </w:tc>
        <w:tc>
          <w:tcPr>
            <w:tcW w:w="1006" w:type="dxa"/>
            <w:tcBorders>
              <w:top w:val="nil"/>
              <w:left w:val="nil"/>
              <w:bottom w:val="single" w:sz="8" w:space="0" w:color="auto"/>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TASSO</w:t>
            </w:r>
          </w:p>
        </w:tc>
        <w:tc>
          <w:tcPr>
            <w:tcW w:w="1029" w:type="dxa"/>
            <w:tcBorders>
              <w:top w:val="nil"/>
              <w:left w:val="nil"/>
              <w:bottom w:val="single" w:sz="8" w:space="0" w:color="auto"/>
              <w:right w:val="nil"/>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N</w:t>
            </w:r>
            <w:r w:rsidR="009A3C15">
              <w:rPr>
                <w:rFonts w:ascii="Calibri" w:eastAsia="Times New Roman" w:hAnsi="Calibri" w:cs="Times New Roman"/>
                <w:b/>
                <w:bCs/>
                <w:lang w:eastAsia="it-IT"/>
              </w:rPr>
              <w:t xml:space="preserve"> casi</w:t>
            </w:r>
          </w:p>
        </w:tc>
        <w:tc>
          <w:tcPr>
            <w:tcW w:w="1006" w:type="dxa"/>
            <w:tcBorders>
              <w:top w:val="nil"/>
              <w:left w:val="nil"/>
              <w:bottom w:val="single" w:sz="8" w:space="0" w:color="auto"/>
              <w:right w:val="single" w:sz="8" w:space="0" w:color="auto"/>
            </w:tcBorders>
            <w:shd w:val="clear" w:color="000000" w:fill="E4DFEC"/>
            <w:noWrap/>
            <w:vAlign w:val="bottom"/>
            <w:hideMark/>
          </w:tcPr>
          <w:p w:rsidR="00C872F9" w:rsidRPr="009C4D9D" w:rsidRDefault="00C872F9"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TASSO</w:t>
            </w:r>
          </w:p>
        </w:tc>
      </w:tr>
      <w:tr w:rsidR="009C4D9D" w:rsidRPr="009C4D9D" w:rsidTr="005F3BE4">
        <w:trPr>
          <w:trHeight w:val="289"/>
        </w:trPr>
        <w:tc>
          <w:tcPr>
            <w:tcW w:w="723" w:type="dxa"/>
            <w:vMerge w:val="restart"/>
            <w:tcBorders>
              <w:top w:val="nil"/>
              <w:left w:val="nil"/>
              <w:bottom w:val="nil"/>
              <w:right w:val="single" w:sz="8" w:space="0" w:color="auto"/>
            </w:tcBorders>
            <w:shd w:val="clear" w:color="000000" w:fill="F2DCDB"/>
            <w:noWrap/>
            <w:vAlign w:val="bottom"/>
            <w:hideMark/>
          </w:tcPr>
          <w:p w:rsidR="009C4D9D" w:rsidRDefault="009C4D9D" w:rsidP="009C4D9D">
            <w:pPr>
              <w:spacing w:after="0" w:line="240" w:lineRule="auto"/>
              <w:rPr>
                <w:rFonts w:ascii="Calibri" w:eastAsia="Times New Roman" w:hAnsi="Calibri" w:cs="Times New Roman"/>
                <w:lang w:eastAsia="it-IT"/>
              </w:rPr>
            </w:pPr>
            <w:r w:rsidRPr="009C4D9D">
              <w:rPr>
                <w:rFonts w:ascii="Calibri" w:eastAsia="Times New Roman" w:hAnsi="Calibri" w:cs="Times New Roman"/>
                <w:lang w:eastAsia="it-IT"/>
              </w:rPr>
              <w:t>F</w:t>
            </w:r>
          </w:p>
          <w:p w:rsidR="009C4D9D" w:rsidRDefault="009C4D9D" w:rsidP="009C4D9D">
            <w:pPr>
              <w:spacing w:after="0" w:line="240" w:lineRule="auto"/>
              <w:rPr>
                <w:rFonts w:ascii="Calibri" w:eastAsia="Times New Roman" w:hAnsi="Calibri" w:cs="Times New Roman"/>
                <w:lang w:eastAsia="it-IT"/>
              </w:rPr>
            </w:pPr>
          </w:p>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00-14</w:t>
            </w:r>
          </w:p>
        </w:tc>
        <w:tc>
          <w:tcPr>
            <w:tcW w:w="85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20</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1,9</w:t>
            </w:r>
          </w:p>
        </w:tc>
        <w:tc>
          <w:tcPr>
            <w:tcW w:w="85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237</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19,7</w:t>
            </w:r>
          </w:p>
        </w:tc>
        <w:tc>
          <w:tcPr>
            <w:tcW w:w="85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1.168</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42,8</w:t>
            </w:r>
          </w:p>
        </w:tc>
        <w:tc>
          <w:tcPr>
            <w:tcW w:w="1029"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1.425</w:t>
            </w:r>
          </w:p>
        </w:tc>
        <w:tc>
          <w:tcPr>
            <w:tcW w:w="1006"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28,4</w:t>
            </w:r>
          </w:p>
        </w:tc>
      </w:tr>
      <w:tr w:rsidR="009C4D9D" w:rsidRPr="009C4D9D" w:rsidTr="005F3BE4">
        <w:trPr>
          <w:trHeight w:val="289"/>
        </w:trPr>
        <w:tc>
          <w:tcPr>
            <w:tcW w:w="723" w:type="dxa"/>
            <w:vMerge/>
            <w:tcBorders>
              <w:top w:val="nil"/>
              <w:left w:val="nil"/>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15-29</w:t>
            </w:r>
          </w:p>
        </w:tc>
        <w:tc>
          <w:tcPr>
            <w:tcW w:w="85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52</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4,5</w:t>
            </w:r>
          </w:p>
        </w:tc>
        <w:tc>
          <w:tcPr>
            <w:tcW w:w="85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276</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20,9</w:t>
            </w:r>
          </w:p>
        </w:tc>
        <w:tc>
          <w:tcPr>
            <w:tcW w:w="85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944</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34,3</w:t>
            </w:r>
          </w:p>
        </w:tc>
        <w:tc>
          <w:tcPr>
            <w:tcW w:w="1029"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1.272</w:t>
            </w:r>
          </w:p>
        </w:tc>
        <w:tc>
          <w:tcPr>
            <w:tcW w:w="1006"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24,4</w:t>
            </w:r>
          </w:p>
        </w:tc>
      </w:tr>
      <w:tr w:rsidR="009C4D9D" w:rsidRPr="009C4D9D" w:rsidTr="005F3BE4">
        <w:trPr>
          <w:trHeight w:val="289"/>
        </w:trPr>
        <w:tc>
          <w:tcPr>
            <w:tcW w:w="723" w:type="dxa"/>
            <w:vMerge/>
            <w:tcBorders>
              <w:top w:val="nil"/>
              <w:left w:val="nil"/>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30-64</w:t>
            </w:r>
          </w:p>
        </w:tc>
        <w:tc>
          <w:tcPr>
            <w:tcW w:w="85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674</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16,5</w:t>
            </w:r>
          </w:p>
        </w:tc>
        <w:tc>
          <w:tcPr>
            <w:tcW w:w="85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1.389</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29,4</w:t>
            </w:r>
          </w:p>
        </w:tc>
        <w:tc>
          <w:tcPr>
            <w:tcW w:w="85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3.919</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38,5</w:t>
            </w:r>
          </w:p>
        </w:tc>
        <w:tc>
          <w:tcPr>
            <w:tcW w:w="1029"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5.982</w:t>
            </w:r>
          </w:p>
        </w:tc>
        <w:tc>
          <w:tcPr>
            <w:tcW w:w="1006"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31,5</w:t>
            </w:r>
          </w:p>
        </w:tc>
      </w:tr>
      <w:tr w:rsidR="009C4D9D" w:rsidRPr="009C4D9D" w:rsidTr="005F3BE4">
        <w:trPr>
          <w:trHeight w:val="289"/>
        </w:trPr>
        <w:tc>
          <w:tcPr>
            <w:tcW w:w="723" w:type="dxa"/>
            <w:vMerge/>
            <w:tcBorders>
              <w:top w:val="nil"/>
              <w:left w:val="nil"/>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65-74</w:t>
            </w:r>
          </w:p>
        </w:tc>
        <w:tc>
          <w:tcPr>
            <w:tcW w:w="85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758</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83,8</w:t>
            </w:r>
          </w:p>
        </w:tc>
        <w:tc>
          <w:tcPr>
            <w:tcW w:w="85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1.189</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98,4</w:t>
            </w:r>
          </w:p>
        </w:tc>
        <w:tc>
          <w:tcPr>
            <w:tcW w:w="85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2.212</w:t>
            </w:r>
          </w:p>
        </w:tc>
        <w:tc>
          <w:tcPr>
            <w:tcW w:w="1006"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92,8</w:t>
            </w:r>
          </w:p>
        </w:tc>
        <w:tc>
          <w:tcPr>
            <w:tcW w:w="1029"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4.159</w:t>
            </w:r>
          </w:p>
        </w:tc>
        <w:tc>
          <w:tcPr>
            <w:tcW w:w="1006"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92,5</w:t>
            </w:r>
          </w:p>
        </w:tc>
      </w:tr>
      <w:tr w:rsidR="009C4D9D" w:rsidRPr="009C4D9D" w:rsidTr="005F3BE4">
        <w:trPr>
          <w:trHeight w:val="303"/>
        </w:trPr>
        <w:tc>
          <w:tcPr>
            <w:tcW w:w="723" w:type="dxa"/>
            <w:vMerge/>
            <w:tcBorders>
              <w:top w:val="nil"/>
              <w:left w:val="nil"/>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single" w:sz="8" w:space="0" w:color="auto"/>
              <w:right w:val="single" w:sz="8"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75+</w:t>
            </w:r>
          </w:p>
        </w:tc>
        <w:tc>
          <w:tcPr>
            <w:tcW w:w="852"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2.368</w:t>
            </w:r>
          </w:p>
        </w:tc>
        <w:tc>
          <w:tcPr>
            <w:tcW w:w="1006"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228,5</w:t>
            </w:r>
          </w:p>
        </w:tc>
        <w:tc>
          <w:tcPr>
            <w:tcW w:w="851"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4.730</w:t>
            </w:r>
          </w:p>
        </w:tc>
        <w:tc>
          <w:tcPr>
            <w:tcW w:w="1006"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281,4</w:t>
            </w:r>
          </w:p>
        </w:tc>
        <w:tc>
          <w:tcPr>
            <w:tcW w:w="851"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7.391</w:t>
            </w:r>
          </w:p>
        </w:tc>
        <w:tc>
          <w:tcPr>
            <w:tcW w:w="1006"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239,1</w:t>
            </w:r>
          </w:p>
        </w:tc>
        <w:tc>
          <w:tcPr>
            <w:tcW w:w="1029"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14.489</w:t>
            </w:r>
          </w:p>
        </w:tc>
        <w:tc>
          <w:tcPr>
            <w:tcW w:w="1006" w:type="dxa"/>
            <w:tcBorders>
              <w:top w:val="nil"/>
              <w:left w:val="nil"/>
              <w:bottom w:val="single" w:sz="8" w:space="0" w:color="auto"/>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249,4</w:t>
            </w:r>
          </w:p>
        </w:tc>
      </w:tr>
      <w:tr w:rsidR="009C4D9D" w:rsidRPr="009C4D9D" w:rsidTr="005F3BE4">
        <w:trPr>
          <w:trHeight w:val="289"/>
        </w:trPr>
        <w:tc>
          <w:tcPr>
            <w:tcW w:w="723" w:type="dxa"/>
            <w:vMerge w:val="restart"/>
            <w:tcBorders>
              <w:top w:val="nil"/>
              <w:left w:val="nil"/>
              <w:bottom w:val="nil"/>
              <w:right w:val="single" w:sz="8" w:space="0" w:color="auto"/>
            </w:tcBorders>
            <w:shd w:val="clear" w:color="000000" w:fill="DCE6F1"/>
            <w:noWrap/>
            <w:vAlign w:val="bottom"/>
            <w:hideMark/>
          </w:tcPr>
          <w:p w:rsidR="009C4D9D" w:rsidRDefault="009C4D9D" w:rsidP="009C4D9D">
            <w:pPr>
              <w:spacing w:after="0" w:line="240" w:lineRule="auto"/>
              <w:rPr>
                <w:rFonts w:ascii="Calibri" w:eastAsia="Times New Roman" w:hAnsi="Calibri" w:cs="Times New Roman"/>
                <w:lang w:eastAsia="it-IT"/>
              </w:rPr>
            </w:pPr>
            <w:r w:rsidRPr="009C4D9D">
              <w:rPr>
                <w:rFonts w:ascii="Calibri" w:eastAsia="Times New Roman" w:hAnsi="Calibri" w:cs="Times New Roman"/>
                <w:lang w:eastAsia="it-IT"/>
              </w:rPr>
              <w:t>M</w:t>
            </w:r>
          </w:p>
          <w:p w:rsidR="009C4D9D" w:rsidRDefault="009C4D9D" w:rsidP="009C4D9D">
            <w:pPr>
              <w:spacing w:after="0" w:line="240" w:lineRule="auto"/>
              <w:rPr>
                <w:rFonts w:ascii="Calibri" w:eastAsia="Times New Roman" w:hAnsi="Calibri" w:cs="Times New Roman"/>
                <w:lang w:eastAsia="it-IT"/>
              </w:rPr>
            </w:pPr>
          </w:p>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00-14</w:t>
            </w:r>
          </w:p>
        </w:tc>
        <w:tc>
          <w:tcPr>
            <w:tcW w:w="85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32</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2,7</w:t>
            </w:r>
          </w:p>
        </w:tc>
        <w:tc>
          <w:tcPr>
            <w:tcW w:w="85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257</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19,6</w:t>
            </w:r>
          </w:p>
        </w:tc>
        <w:tc>
          <w:tcPr>
            <w:tcW w:w="85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1.602</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54,6</w:t>
            </w:r>
          </w:p>
        </w:tc>
        <w:tc>
          <w:tcPr>
            <w:tcW w:w="1029"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1.891</w:t>
            </w:r>
          </w:p>
        </w:tc>
        <w:tc>
          <w:tcPr>
            <w:tcW w:w="1006"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34,9</w:t>
            </w:r>
          </w:p>
        </w:tc>
      </w:tr>
      <w:tr w:rsidR="009C4D9D" w:rsidRPr="009C4D9D" w:rsidTr="005F3BE4">
        <w:trPr>
          <w:trHeight w:val="289"/>
        </w:trPr>
        <w:tc>
          <w:tcPr>
            <w:tcW w:w="723" w:type="dxa"/>
            <w:vMerge/>
            <w:tcBorders>
              <w:top w:val="nil"/>
              <w:left w:val="nil"/>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15-29</w:t>
            </w:r>
          </w:p>
        </w:tc>
        <w:tc>
          <w:tcPr>
            <w:tcW w:w="85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55</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4,6</w:t>
            </w:r>
          </w:p>
        </w:tc>
        <w:tc>
          <w:tcPr>
            <w:tcW w:w="85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262</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18,8</w:t>
            </w:r>
          </w:p>
        </w:tc>
        <w:tc>
          <w:tcPr>
            <w:tcW w:w="85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791</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27,1</w:t>
            </w:r>
          </w:p>
        </w:tc>
        <w:tc>
          <w:tcPr>
            <w:tcW w:w="1029"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1.108</w:t>
            </w:r>
          </w:p>
        </w:tc>
        <w:tc>
          <w:tcPr>
            <w:tcW w:w="1006"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20,1</w:t>
            </w:r>
          </w:p>
        </w:tc>
      </w:tr>
      <w:tr w:rsidR="009C4D9D" w:rsidRPr="009C4D9D" w:rsidTr="005F3BE4">
        <w:trPr>
          <w:trHeight w:val="289"/>
        </w:trPr>
        <w:tc>
          <w:tcPr>
            <w:tcW w:w="723" w:type="dxa"/>
            <w:vMerge/>
            <w:tcBorders>
              <w:top w:val="nil"/>
              <w:left w:val="nil"/>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30-64</w:t>
            </w:r>
          </w:p>
        </w:tc>
        <w:tc>
          <w:tcPr>
            <w:tcW w:w="85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1.696</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40,6</w:t>
            </w:r>
          </w:p>
        </w:tc>
        <w:tc>
          <w:tcPr>
            <w:tcW w:w="85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2.346</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48,1</w:t>
            </w:r>
          </w:p>
        </w:tc>
        <w:tc>
          <w:tcPr>
            <w:tcW w:w="85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5.514</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53,1</w:t>
            </w:r>
          </w:p>
        </w:tc>
        <w:tc>
          <w:tcPr>
            <w:tcW w:w="1029"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9.556</w:t>
            </w:r>
          </w:p>
        </w:tc>
        <w:tc>
          <w:tcPr>
            <w:tcW w:w="1006"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49,1</w:t>
            </w:r>
          </w:p>
        </w:tc>
      </w:tr>
      <w:tr w:rsidR="009C4D9D" w:rsidRPr="009C4D9D" w:rsidTr="005F3BE4">
        <w:trPr>
          <w:trHeight w:val="289"/>
        </w:trPr>
        <w:tc>
          <w:tcPr>
            <w:tcW w:w="723" w:type="dxa"/>
            <w:vMerge/>
            <w:tcBorders>
              <w:top w:val="nil"/>
              <w:left w:val="nil"/>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65-74</w:t>
            </w:r>
          </w:p>
        </w:tc>
        <w:tc>
          <w:tcPr>
            <w:tcW w:w="85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1.779</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200,6</w:t>
            </w:r>
          </w:p>
        </w:tc>
        <w:tc>
          <w:tcPr>
            <w:tcW w:w="85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2.141</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200,6</w:t>
            </w:r>
          </w:p>
        </w:tc>
        <w:tc>
          <w:tcPr>
            <w:tcW w:w="85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4.067</w:t>
            </w:r>
          </w:p>
        </w:tc>
        <w:tc>
          <w:tcPr>
            <w:tcW w:w="1006"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191,4</w:t>
            </w:r>
          </w:p>
        </w:tc>
        <w:tc>
          <w:tcPr>
            <w:tcW w:w="1029"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7.987</w:t>
            </w:r>
          </w:p>
        </w:tc>
        <w:tc>
          <w:tcPr>
            <w:tcW w:w="1006"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195,8</w:t>
            </w:r>
          </w:p>
        </w:tc>
      </w:tr>
      <w:tr w:rsidR="009C4D9D" w:rsidRPr="009C4D9D" w:rsidTr="005F3BE4">
        <w:trPr>
          <w:trHeight w:val="303"/>
        </w:trPr>
        <w:tc>
          <w:tcPr>
            <w:tcW w:w="723" w:type="dxa"/>
            <w:vMerge/>
            <w:tcBorders>
              <w:top w:val="nil"/>
              <w:left w:val="nil"/>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291" w:type="dxa"/>
            <w:tcBorders>
              <w:top w:val="nil"/>
              <w:left w:val="nil"/>
              <w:bottom w:val="single" w:sz="8" w:space="0" w:color="auto"/>
              <w:right w:val="single" w:sz="8" w:space="0" w:color="auto"/>
            </w:tcBorders>
            <w:shd w:val="clear" w:color="000000" w:fill="DCE6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75+</w:t>
            </w:r>
          </w:p>
        </w:tc>
        <w:tc>
          <w:tcPr>
            <w:tcW w:w="852"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2.342</w:t>
            </w:r>
          </w:p>
        </w:tc>
        <w:tc>
          <w:tcPr>
            <w:tcW w:w="1006"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358,8</w:t>
            </w:r>
          </w:p>
        </w:tc>
        <w:tc>
          <w:tcPr>
            <w:tcW w:w="851"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3.634</w:t>
            </w:r>
          </w:p>
        </w:tc>
        <w:tc>
          <w:tcPr>
            <w:tcW w:w="1006"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377,1</w:t>
            </w:r>
          </w:p>
        </w:tc>
        <w:tc>
          <w:tcPr>
            <w:tcW w:w="851"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6.226</w:t>
            </w:r>
          </w:p>
        </w:tc>
        <w:tc>
          <w:tcPr>
            <w:tcW w:w="1006"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331,0</w:t>
            </w:r>
          </w:p>
        </w:tc>
        <w:tc>
          <w:tcPr>
            <w:tcW w:w="1029"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12.202</w:t>
            </w:r>
          </w:p>
        </w:tc>
        <w:tc>
          <w:tcPr>
            <w:tcW w:w="1006" w:type="dxa"/>
            <w:tcBorders>
              <w:top w:val="nil"/>
              <w:left w:val="nil"/>
              <w:bottom w:val="single" w:sz="8" w:space="0" w:color="auto"/>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348,9</w:t>
            </w:r>
          </w:p>
        </w:tc>
      </w:tr>
    </w:tbl>
    <w:p w:rsidR="009C4D9D" w:rsidRDefault="009C4D9D" w:rsidP="004D2786">
      <w:pPr>
        <w:pStyle w:val="Nessunaspaziatura"/>
        <w:jc w:val="both"/>
      </w:pPr>
    </w:p>
    <w:p w:rsidR="009C4D9D" w:rsidRDefault="009C4D9D" w:rsidP="004D2786">
      <w:pPr>
        <w:pStyle w:val="Nessunaspaziatura"/>
        <w:jc w:val="both"/>
      </w:pPr>
      <w:r>
        <w:rPr>
          <w:noProof/>
          <w:lang w:eastAsia="it-IT"/>
        </w:rPr>
        <w:drawing>
          <wp:inline distT="0" distB="0" distL="0" distR="0" wp14:anchorId="260168DF" wp14:editId="1F21031D">
            <wp:extent cx="6057900" cy="2238375"/>
            <wp:effectExtent l="0" t="0" r="19050" b="9525"/>
            <wp:docPr id="71" name="Grafico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9C4D9D" w:rsidRDefault="009C4D9D" w:rsidP="004D2786">
      <w:pPr>
        <w:pStyle w:val="Nessunaspaziatura"/>
        <w:jc w:val="both"/>
      </w:pPr>
    </w:p>
    <w:p w:rsidR="008D3EE7" w:rsidRDefault="008D3EE7" w:rsidP="004D2786">
      <w:pPr>
        <w:pStyle w:val="Nessunaspaziatura"/>
        <w:jc w:val="both"/>
      </w:pPr>
      <w:r>
        <w:t xml:space="preserve">Per quanto riguarda ancora le patologie </w:t>
      </w:r>
      <w:r w:rsidR="003966C8">
        <w:t xml:space="preserve">correlate </w:t>
      </w:r>
      <w:r>
        <w:t>alle malattie cardio-circolatorie</w:t>
      </w:r>
      <w:r w:rsidR="00F742D6">
        <w:t>,</w:t>
      </w:r>
      <w:r>
        <w:t xml:space="preserve"> sono descritte anche ipertensione, dislipidemie e diabete</w:t>
      </w:r>
      <w:r w:rsidR="003966C8">
        <w:t xml:space="preserve"> che riconoscono come concause anc</w:t>
      </w:r>
      <w:r>
        <w:t>he stili di vita poco salutari.</w:t>
      </w:r>
    </w:p>
    <w:p w:rsidR="009C4D9D" w:rsidRDefault="008D3EE7" w:rsidP="004D2786">
      <w:pPr>
        <w:pStyle w:val="Nessunaspaziatura"/>
        <w:jc w:val="both"/>
      </w:pPr>
      <w:r>
        <w:t>Emerge come il genere maschile prevalga</w:t>
      </w:r>
      <w:r w:rsidR="006177DA">
        <w:t xml:space="preserve"> sempre su quello femminile e Mantova det</w:t>
      </w:r>
      <w:r>
        <w:t>enga</w:t>
      </w:r>
      <w:r w:rsidR="006177DA">
        <w:t xml:space="preserve"> in ogni caso il tasso più alto</w:t>
      </w:r>
      <w:r w:rsidR="00F742D6">
        <w:t>.</w:t>
      </w:r>
    </w:p>
    <w:p w:rsidR="003966C8" w:rsidRDefault="003966C8" w:rsidP="004D2786">
      <w:pPr>
        <w:pStyle w:val="Nessunaspaziatura"/>
        <w:jc w:val="both"/>
      </w:pPr>
    </w:p>
    <w:tbl>
      <w:tblPr>
        <w:tblW w:w="9481" w:type="dxa"/>
        <w:tblInd w:w="55" w:type="dxa"/>
        <w:tblCellMar>
          <w:left w:w="70" w:type="dxa"/>
          <w:right w:w="70" w:type="dxa"/>
        </w:tblCellMar>
        <w:tblLook w:val="04A0" w:firstRow="1" w:lastRow="0" w:firstColumn="1" w:lastColumn="0" w:noHBand="0" w:noVBand="1"/>
      </w:tblPr>
      <w:tblGrid>
        <w:gridCol w:w="724"/>
        <w:gridCol w:w="1456"/>
        <w:gridCol w:w="771"/>
        <w:gridCol w:w="932"/>
        <w:gridCol w:w="934"/>
        <w:gridCol w:w="932"/>
        <w:gridCol w:w="934"/>
        <w:gridCol w:w="932"/>
        <w:gridCol w:w="934"/>
        <w:gridCol w:w="932"/>
      </w:tblGrid>
      <w:tr w:rsidR="00E7192E" w:rsidRPr="009C4D9D" w:rsidTr="00E7192E">
        <w:trPr>
          <w:trHeight w:val="300"/>
        </w:trPr>
        <w:tc>
          <w:tcPr>
            <w:tcW w:w="9481" w:type="dxa"/>
            <w:gridSpan w:val="10"/>
            <w:tcBorders>
              <w:top w:val="single" w:sz="4" w:space="0" w:color="auto"/>
              <w:left w:val="single" w:sz="4" w:space="0" w:color="auto"/>
              <w:bottom w:val="single" w:sz="4" w:space="0" w:color="auto"/>
              <w:right w:val="single" w:sz="8" w:space="0" w:color="000000"/>
            </w:tcBorders>
            <w:vAlign w:val="center"/>
          </w:tcPr>
          <w:p w:rsidR="00E7192E" w:rsidRPr="009C4D9D" w:rsidRDefault="00E7192E" w:rsidP="009C4D9D">
            <w:pPr>
              <w:spacing w:after="0" w:line="240" w:lineRule="auto"/>
              <w:jc w:val="center"/>
              <w:rPr>
                <w:rFonts w:ascii="Calibri" w:eastAsia="Times New Roman" w:hAnsi="Calibri" w:cs="Times New Roman"/>
                <w:b/>
                <w:bCs/>
                <w:lang w:eastAsia="it-IT"/>
              </w:rPr>
            </w:pPr>
            <w:r>
              <w:rPr>
                <w:rFonts w:ascii="Calibri" w:eastAsia="Times New Roman" w:hAnsi="Calibri" w:cs="Times New Roman"/>
                <w:b/>
                <w:bCs/>
                <w:lang w:eastAsia="it-IT"/>
              </w:rPr>
              <w:t>IPERTENSIONE</w:t>
            </w:r>
          </w:p>
        </w:tc>
      </w:tr>
      <w:tr w:rsidR="00DA0C9B" w:rsidRPr="009C4D9D" w:rsidTr="00DA0C9B">
        <w:trPr>
          <w:trHeight w:val="300"/>
        </w:trPr>
        <w:tc>
          <w:tcPr>
            <w:tcW w:w="724" w:type="dxa"/>
            <w:vMerge w:val="restart"/>
            <w:tcBorders>
              <w:top w:val="single" w:sz="4" w:space="0" w:color="auto"/>
              <w:left w:val="single" w:sz="4" w:space="0" w:color="auto"/>
              <w:bottom w:val="single" w:sz="4" w:space="0" w:color="auto"/>
              <w:right w:val="single" w:sz="4" w:space="0" w:color="auto"/>
            </w:tcBorders>
            <w:vAlign w:val="center"/>
            <w:hideMark/>
          </w:tcPr>
          <w:p w:rsidR="00DA0C9B" w:rsidRPr="009C4D9D" w:rsidRDefault="00DA0C9B" w:rsidP="009C4D9D">
            <w:pPr>
              <w:spacing w:after="0" w:line="240" w:lineRule="auto"/>
              <w:rPr>
                <w:rFonts w:ascii="Calibri" w:eastAsia="Times New Roman" w:hAnsi="Calibri" w:cs="Times New Roman"/>
                <w:b/>
                <w:bCs/>
                <w:lang w:eastAsia="it-IT"/>
              </w:rPr>
            </w:pPr>
            <w:r>
              <w:rPr>
                <w:rFonts w:ascii="Calibri" w:eastAsia="Times New Roman" w:hAnsi="Calibri" w:cs="Times New Roman"/>
                <w:b/>
                <w:bCs/>
                <w:lang w:eastAsia="it-IT"/>
              </w:rPr>
              <w:t>Sesso</w:t>
            </w:r>
          </w:p>
        </w:tc>
        <w:tc>
          <w:tcPr>
            <w:tcW w:w="1456" w:type="dxa"/>
            <w:vMerge w:val="restart"/>
            <w:tcBorders>
              <w:top w:val="single" w:sz="4" w:space="0" w:color="auto"/>
              <w:left w:val="single" w:sz="4" w:space="0" w:color="auto"/>
              <w:bottom w:val="single" w:sz="4" w:space="0" w:color="auto"/>
              <w:right w:val="single" w:sz="4" w:space="0" w:color="auto"/>
            </w:tcBorders>
            <w:vAlign w:val="center"/>
          </w:tcPr>
          <w:p w:rsidR="00DA0C9B" w:rsidRPr="009C4D9D" w:rsidRDefault="00DA0C9B" w:rsidP="009C4D9D">
            <w:pPr>
              <w:spacing w:after="0" w:line="240" w:lineRule="auto"/>
              <w:rPr>
                <w:rFonts w:ascii="Calibri" w:eastAsia="Times New Roman" w:hAnsi="Calibri" w:cs="Times New Roman"/>
                <w:b/>
                <w:bCs/>
                <w:lang w:eastAsia="it-IT"/>
              </w:rPr>
            </w:pPr>
            <w:r>
              <w:rPr>
                <w:rFonts w:ascii="Calibri" w:eastAsia="Times New Roman" w:hAnsi="Calibri" w:cs="Times New Roman"/>
                <w:b/>
                <w:bCs/>
                <w:lang w:eastAsia="it-IT"/>
              </w:rPr>
              <w:t>Classi di età</w:t>
            </w:r>
          </w:p>
        </w:tc>
        <w:tc>
          <w:tcPr>
            <w:tcW w:w="1703" w:type="dxa"/>
            <w:gridSpan w:val="2"/>
            <w:tcBorders>
              <w:top w:val="nil"/>
              <w:left w:val="single" w:sz="4" w:space="0" w:color="auto"/>
              <w:bottom w:val="nil"/>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CREMA</w:t>
            </w:r>
          </w:p>
        </w:tc>
        <w:tc>
          <w:tcPr>
            <w:tcW w:w="1866" w:type="dxa"/>
            <w:gridSpan w:val="2"/>
            <w:tcBorders>
              <w:top w:val="nil"/>
              <w:left w:val="nil"/>
              <w:bottom w:val="nil"/>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CREMONA</w:t>
            </w:r>
          </w:p>
        </w:tc>
        <w:tc>
          <w:tcPr>
            <w:tcW w:w="1866" w:type="dxa"/>
            <w:gridSpan w:val="2"/>
            <w:tcBorders>
              <w:top w:val="nil"/>
              <w:left w:val="nil"/>
              <w:bottom w:val="nil"/>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MANTOVA</w:t>
            </w:r>
          </w:p>
        </w:tc>
        <w:tc>
          <w:tcPr>
            <w:tcW w:w="1866" w:type="dxa"/>
            <w:gridSpan w:val="2"/>
            <w:tcBorders>
              <w:top w:val="nil"/>
              <w:left w:val="nil"/>
              <w:bottom w:val="nil"/>
              <w:right w:val="single" w:sz="8" w:space="0" w:color="000000"/>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ATS</w:t>
            </w:r>
          </w:p>
        </w:tc>
      </w:tr>
      <w:tr w:rsidR="00DA0C9B" w:rsidRPr="009C4D9D" w:rsidTr="00DA0C9B">
        <w:trPr>
          <w:trHeight w:val="315"/>
        </w:trPr>
        <w:tc>
          <w:tcPr>
            <w:tcW w:w="724" w:type="dxa"/>
            <w:vMerge/>
            <w:tcBorders>
              <w:left w:val="single" w:sz="4" w:space="0" w:color="auto"/>
              <w:bottom w:val="single" w:sz="4" w:space="0" w:color="auto"/>
              <w:right w:val="single" w:sz="4" w:space="0" w:color="auto"/>
            </w:tcBorders>
            <w:vAlign w:val="center"/>
            <w:hideMark/>
          </w:tcPr>
          <w:p w:rsidR="00DA0C9B" w:rsidRPr="009C4D9D" w:rsidRDefault="00DA0C9B" w:rsidP="009C4D9D">
            <w:pPr>
              <w:spacing w:after="0" w:line="240" w:lineRule="auto"/>
              <w:rPr>
                <w:rFonts w:ascii="Calibri" w:eastAsia="Times New Roman" w:hAnsi="Calibri" w:cs="Times New Roman"/>
                <w:b/>
                <w:bCs/>
                <w:lang w:eastAsia="it-IT"/>
              </w:rPr>
            </w:pPr>
          </w:p>
        </w:tc>
        <w:tc>
          <w:tcPr>
            <w:tcW w:w="1456" w:type="dxa"/>
            <w:vMerge/>
            <w:tcBorders>
              <w:left w:val="single" w:sz="4" w:space="0" w:color="auto"/>
              <w:bottom w:val="single" w:sz="4" w:space="0" w:color="auto"/>
              <w:right w:val="single" w:sz="4" w:space="0" w:color="auto"/>
            </w:tcBorders>
            <w:vAlign w:val="center"/>
          </w:tcPr>
          <w:p w:rsidR="00DA0C9B" w:rsidRPr="009C4D9D" w:rsidRDefault="00DA0C9B" w:rsidP="009C4D9D">
            <w:pPr>
              <w:spacing w:after="0" w:line="240" w:lineRule="auto"/>
              <w:rPr>
                <w:rFonts w:ascii="Calibri" w:eastAsia="Times New Roman" w:hAnsi="Calibri" w:cs="Times New Roman"/>
                <w:b/>
                <w:bCs/>
                <w:lang w:eastAsia="it-IT"/>
              </w:rPr>
            </w:pPr>
          </w:p>
        </w:tc>
        <w:tc>
          <w:tcPr>
            <w:tcW w:w="771" w:type="dxa"/>
            <w:tcBorders>
              <w:top w:val="nil"/>
              <w:left w:val="single" w:sz="4" w:space="0" w:color="auto"/>
              <w:bottom w:val="single" w:sz="8" w:space="0" w:color="auto"/>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N</w:t>
            </w:r>
          </w:p>
        </w:tc>
        <w:tc>
          <w:tcPr>
            <w:tcW w:w="932" w:type="dxa"/>
            <w:tcBorders>
              <w:top w:val="nil"/>
              <w:left w:val="nil"/>
              <w:bottom w:val="single" w:sz="8" w:space="0" w:color="auto"/>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TASSO</w:t>
            </w:r>
          </w:p>
        </w:tc>
        <w:tc>
          <w:tcPr>
            <w:tcW w:w="934" w:type="dxa"/>
            <w:tcBorders>
              <w:top w:val="nil"/>
              <w:left w:val="nil"/>
              <w:bottom w:val="single" w:sz="8" w:space="0" w:color="auto"/>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N</w:t>
            </w:r>
          </w:p>
        </w:tc>
        <w:tc>
          <w:tcPr>
            <w:tcW w:w="932" w:type="dxa"/>
            <w:tcBorders>
              <w:top w:val="nil"/>
              <w:left w:val="nil"/>
              <w:bottom w:val="single" w:sz="8" w:space="0" w:color="auto"/>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TASSO</w:t>
            </w:r>
          </w:p>
        </w:tc>
        <w:tc>
          <w:tcPr>
            <w:tcW w:w="934" w:type="dxa"/>
            <w:tcBorders>
              <w:top w:val="nil"/>
              <w:left w:val="nil"/>
              <w:bottom w:val="single" w:sz="8" w:space="0" w:color="auto"/>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N</w:t>
            </w:r>
          </w:p>
        </w:tc>
        <w:tc>
          <w:tcPr>
            <w:tcW w:w="932" w:type="dxa"/>
            <w:tcBorders>
              <w:top w:val="nil"/>
              <w:left w:val="nil"/>
              <w:bottom w:val="single" w:sz="8" w:space="0" w:color="auto"/>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TASSO</w:t>
            </w:r>
          </w:p>
        </w:tc>
        <w:tc>
          <w:tcPr>
            <w:tcW w:w="934" w:type="dxa"/>
            <w:tcBorders>
              <w:top w:val="nil"/>
              <w:left w:val="nil"/>
              <w:bottom w:val="single" w:sz="8" w:space="0" w:color="auto"/>
              <w:right w:val="nil"/>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N</w:t>
            </w:r>
          </w:p>
        </w:tc>
        <w:tc>
          <w:tcPr>
            <w:tcW w:w="932" w:type="dxa"/>
            <w:tcBorders>
              <w:top w:val="nil"/>
              <w:left w:val="nil"/>
              <w:bottom w:val="single" w:sz="8" w:space="0" w:color="auto"/>
              <w:right w:val="single" w:sz="8" w:space="0" w:color="auto"/>
            </w:tcBorders>
            <w:shd w:val="clear" w:color="000000" w:fill="E4DFEC"/>
            <w:noWrap/>
            <w:vAlign w:val="bottom"/>
            <w:hideMark/>
          </w:tcPr>
          <w:p w:rsidR="00DA0C9B" w:rsidRPr="009C4D9D" w:rsidRDefault="00DA0C9B" w:rsidP="009C4D9D">
            <w:pPr>
              <w:spacing w:after="0" w:line="240" w:lineRule="auto"/>
              <w:jc w:val="center"/>
              <w:rPr>
                <w:rFonts w:ascii="Calibri" w:eastAsia="Times New Roman" w:hAnsi="Calibri" w:cs="Times New Roman"/>
                <w:b/>
                <w:bCs/>
                <w:lang w:eastAsia="it-IT"/>
              </w:rPr>
            </w:pPr>
            <w:r w:rsidRPr="009C4D9D">
              <w:rPr>
                <w:rFonts w:ascii="Calibri" w:eastAsia="Times New Roman" w:hAnsi="Calibri" w:cs="Times New Roman"/>
                <w:b/>
                <w:bCs/>
                <w:lang w:eastAsia="it-IT"/>
              </w:rPr>
              <w:t>TASSO</w:t>
            </w:r>
          </w:p>
        </w:tc>
      </w:tr>
      <w:tr w:rsidR="009C4D9D" w:rsidRPr="009C4D9D" w:rsidTr="00DA0C9B">
        <w:trPr>
          <w:trHeight w:val="300"/>
        </w:trPr>
        <w:tc>
          <w:tcPr>
            <w:tcW w:w="724" w:type="dxa"/>
            <w:vMerge w:val="restart"/>
            <w:tcBorders>
              <w:top w:val="single" w:sz="4" w:space="0" w:color="auto"/>
              <w:left w:val="single" w:sz="4" w:space="0" w:color="auto"/>
              <w:bottom w:val="nil"/>
              <w:right w:val="single" w:sz="8" w:space="0" w:color="auto"/>
            </w:tcBorders>
            <w:shd w:val="clear" w:color="000000" w:fill="F2DCDB"/>
            <w:noWrap/>
            <w:vAlign w:val="bottom"/>
            <w:hideMark/>
          </w:tcPr>
          <w:p w:rsidR="009C4D9D" w:rsidRDefault="009C4D9D" w:rsidP="009C4D9D">
            <w:pPr>
              <w:spacing w:after="0" w:line="240" w:lineRule="auto"/>
              <w:rPr>
                <w:rFonts w:ascii="Calibri" w:eastAsia="Times New Roman" w:hAnsi="Calibri" w:cs="Times New Roman"/>
                <w:lang w:eastAsia="it-IT"/>
              </w:rPr>
            </w:pPr>
            <w:r w:rsidRPr="009C4D9D">
              <w:rPr>
                <w:rFonts w:ascii="Calibri" w:eastAsia="Times New Roman" w:hAnsi="Calibri" w:cs="Times New Roman"/>
                <w:lang w:eastAsia="it-IT"/>
              </w:rPr>
              <w:t>F</w:t>
            </w:r>
          </w:p>
          <w:p w:rsidR="009C4D9D" w:rsidRDefault="009C4D9D" w:rsidP="009C4D9D">
            <w:pPr>
              <w:spacing w:after="0" w:line="240" w:lineRule="auto"/>
              <w:rPr>
                <w:rFonts w:ascii="Calibri" w:eastAsia="Times New Roman" w:hAnsi="Calibri" w:cs="Times New Roman"/>
                <w:lang w:eastAsia="it-IT"/>
              </w:rPr>
            </w:pPr>
          </w:p>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single" w:sz="4" w:space="0" w:color="auto"/>
              <w:left w:val="nil"/>
              <w:bottom w:val="nil"/>
              <w:right w:val="single" w:sz="4"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00-14</w:t>
            </w:r>
          </w:p>
        </w:tc>
        <w:tc>
          <w:tcPr>
            <w:tcW w:w="77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0,28</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0,42</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14</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0,51</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22</w:t>
            </w:r>
          </w:p>
        </w:tc>
        <w:tc>
          <w:tcPr>
            <w:tcW w:w="932"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0,44</w:t>
            </w:r>
          </w:p>
        </w:tc>
      </w:tr>
      <w:tr w:rsidR="00F451B4" w:rsidRPr="009C4D9D" w:rsidTr="00DA0C9B">
        <w:trPr>
          <w:trHeight w:val="300"/>
        </w:trPr>
        <w:tc>
          <w:tcPr>
            <w:tcW w:w="724" w:type="dxa"/>
            <w:vMerge/>
            <w:tcBorders>
              <w:top w:val="nil"/>
              <w:left w:val="single" w:sz="4" w:space="0" w:color="auto"/>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nil"/>
              <w:left w:val="nil"/>
              <w:bottom w:val="nil"/>
              <w:right w:val="single" w:sz="4"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15-29</w:t>
            </w:r>
          </w:p>
        </w:tc>
        <w:tc>
          <w:tcPr>
            <w:tcW w:w="77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26</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2,26</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42</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3,18</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80</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2,91</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148</w:t>
            </w:r>
          </w:p>
        </w:tc>
        <w:tc>
          <w:tcPr>
            <w:tcW w:w="932"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2,83</w:t>
            </w:r>
          </w:p>
        </w:tc>
      </w:tr>
      <w:tr w:rsidR="00F451B4" w:rsidRPr="009C4D9D" w:rsidTr="00DA0C9B">
        <w:trPr>
          <w:trHeight w:val="300"/>
        </w:trPr>
        <w:tc>
          <w:tcPr>
            <w:tcW w:w="724" w:type="dxa"/>
            <w:vMerge/>
            <w:tcBorders>
              <w:top w:val="nil"/>
              <w:left w:val="single" w:sz="4" w:space="0" w:color="auto"/>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nil"/>
              <w:left w:val="nil"/>
              <w:bottom w:val="nil"/>
              <w:right w:val="single" w:sz="4"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30-64</w:t>
            </w:r>
          </w:p>
        </w:tc>
        <w:tc>
          <w:tcPr>
            <w:tcW w:w="77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5.439</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133,20</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6.240</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131,90</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13.995</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137,40</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25.674</w:t>
            </w:r>
          </w:p>
        </w:tc>
        <w:tc>
          <w:tcPr>
            <w:tcW w:w="932"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135,13</w:t>
            </w:r>
          </w:p>
        </w:tc>
      </w:tr>
      <w:tr w:rsidR="00F451B4" w:rsidRPr="009C4D9D" w:rsidTr="00DA0C9B">
        <w:trPr>
          <w:trHeight w:val="300"/>
        </w:trPr>
        <w:tc>
          <w:tcPr>
            <w:tcW w:w="724" w:type="dxa"/>
            <w:vMerge/>
            <w:tcBorders>
              <w:top w:val="nil"/>
              <w:left w:val="single" w:sz="4" w:space="0" w:color="auto"/>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nil"/>
              <w:left w:val="nil"/>
              <w:bottom w:val="nil"/>
              <w:right w:val="single" w:sz="4"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65-74</w:t>
            </w:r>
          </w:p>
        </w:tc>
        <w:tc>
          <w:tcPr>
            <w:tcW w:w="771"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5.294</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585,55</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6.499</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537,64</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13.644</w:t>
            </w:r>
          </w:p>
        </w:tc>
        <w:tc>
          <w:tcPr>
            <w:tcW w:w="932"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572,26</w:t>
            </w:r>
          </w:p>
        </w:tc>
        <w:tc>
          <w:tcPr>
            <w:tcW w:w="934" w:type="dxa"/>
            <w:tcBorders>
              <w:top w:val="nil"/>
              <w:left w:val="nil"/>
              <w:bottom w:val="nil"/>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25.437</w:t>
            </w:r>
          </w:p>
        </w:tc>
        <w:tc>
          <w:tcPr>
            <w:tcW w:w="932" w:type="dxa"/>
            <w:tcBorders>
              <w:top w:val="nil"/>
              <w:left w:val="nil"/>
              <w:bottom w:val="nil"/>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565,62</w:t>
            </w:r>
          </w:p>
        </w:tc>
      </w:tr>
      <w:tr w:rsidR="00F451B4" w:rsidRPr="009C4D9D" w:rsidTr="00DA0C9B">
        <w:trPr>
          <w:trHeight w:val="315"/>
        </w:trPr>
        <w:tc>
          <w:tcPr>
            <w:tcW w:w="724" w:type="dxa"/>
            <w:vMerge/>
            <w:tcBorders>
              <w:top w:val="nil"/>
              <w:left w:val="single" w:sz="4" w:space="0" w:color="auto"/>
              <w:bottom w:val="nil"/>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nil"/>
              <w:left w:val="nil"/>
              <w:bottom w:val="single" w:sz="8" w:space="0" w:color="auto"/>
              <w:right w:val="single" w:sz="4" w:space="0" w:color="auto"/>
            </w:tcBorders>
            <w:shd w:val="clear" w:color="000000" w:fill="F2DCDB"/>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75+</w:t>
            </w:r>
          </w:p>
        </w:tc>
        <w:tc>
          <w:tcPr>
            <w:tcW w:w="771"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8.900</w:t>
            </w:r>
          </w:p>
        </w:tc>
        <w:tc>
          <w:tcPr>
            <w:tcW w:w="932"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858,74</w:t>
            </w:r>
          </w:p>
        </w:tc>
        <w:tc>
          <w:tcPr>
            <w:tcW w:w="934"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13.846</w:t>
            </w:r>
          </w:p>
        </w:tc>
        <w:tc>
          <w:tcPr>
            <w:tcW w:w="932"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823,85</w:t>
            </w:r>
          </w:p>
        </w:tc>
        <w:tc>
          <w:tcPr>
            <w:tcW w:w="934"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25.966</w:t>
            </w:r>
          </w:p>
        </w:tc>
        <w:tc>
          <w:tcPr>
            <w:tcW w:w="932"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839,85</w:t>
            </w:r>
          </w:p>
        </w:tc>
        <w:tc>
          <w:tcPr>
            <w:tcW w:w="934" w:type="dxa"/>
            <w:tcBorders>
              <w:top w:val="nil"/>
              <w:left w:val="nil"/>
              <w:bottom w:val="single" w:sz="8" w:space="0" w:color="auto"/>
              <w:right w:val="nil"/>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48.712</w:t>
            </w:r>
          </w:p>
        </w:tc>
        <w:tc>
          <w:tcPr>
            <w:tcW w:w="932" w:type="dxa"/>
            <w:tcBorders>
              <w:top w:val="nil"/>
              <w:left w:val="nil"/>
              <w:bottom w:val="single" w:sz="8" w:space="0" w:color="auto"/>
              <w:right w:val="single" w:sz="8" w:space="0" w:color="auto"/>
            </w:tcBorders>
            <w:shd w:val="clear" w:color="000000" w:fill="F2DCDB"/>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838,59</w:t>
            </w:r>
          </w:p>
        </w:tc>
      </w:tr>
      <w:tr w:rsidR="009C4D9D" w:rsidRPr="009C4D9D" w:rsidTr="00DA0C9B">
        <w:trPr>
          <w:trHeight w:val="300"/>
        </w:trPr>
        <w:tc>
          <w:tcPr>
            <w:tcW w:w="724" w:type="dxa"/>
            <w:vMerge w:val="restart"/>
            <w:tcBorders>
              <w:top w:val="nil"/>
              <w:left w:val="single" w:sz="4" w:space="0" w:color="auto"/>
              <w:bottom w:val="single" w:sz="4" w:space="0" w:color="000000"/>
              <w:right w:val="single" w:sz="8" w:space="0" w:color="auto"/>
            </w:tcBorders>
            <w:shd w:val="clear" w:color="000000" w:fill="DCE6F1"/>
            <w:noWrap/>
            <w:vAlign w:val="bottom"/>
            <w:hideMark/>
          </w:tcPr>
          <w:p w:rsidR="009C4D9D" w:rsidRDefault="009C4D9D" w:rsidP="009C4D9D">
            <w:pPr>
              <w:spacing w:after="0" w:line="240" w:lineRule="auto"/>
              <w:rPr>
                <w:rFonts w:ascii="Calibri" w:eastAsia="Times New Roman" w:hAnsi="Calibri" w:cs="Times New Roman"/>
                <w:lang w:eastAsia="it-IT"/>
              </w:rPr>
            </w:pPr>
            <w:r w:rsidRPr="009C4D9D">
              <w:rPr>
                <w:rFonts w:ascii="Calibri" w:eastAsia="Times New Roman" w:hAnsi="Calibri" w:cs="Times New Roman"/>
                <w:lang w:eastAsia="it-IT"/>
              </w:rPr>
              <w:t>M</w:t>
            </w:r>
          </w:p>
          <w:p w:rsidR="009C4D9D" w:rsidRDefault="009C4D9D" w:rsidP="009C4D9D">
            <w:pPr>
              <w:spacing w:after="0" w:line="240" w:lineRule="auto"/>
              <w:rPr>
                <w:rFonts w:ascii="Calibri" w:eastAsia="Times New Roman" w:hAnsi="Calibri" w:cs="Times New Roman"/>
                <w:lang w:eastAsia="it-IT"/>
              </w:rPr>
            </w:pPr>
          </w:p>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single" w:sz="4" w:space="0" w:color="auto"/>
              <w:left w:val="nil"/>
              <w:bottom w:val="nil"/>
              <w:right w:val="single" w:sz="4" w:space="0" w:color="auto"/>
            </w:tcBorders>
            <w:shd w:val="clear" w:color="000000" w:fill="C5D9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00-14</w:t>
            </w:r>
          </w:p>
        </w:tc>
        <w:tc>
          <w:tcPr>
            <w:tcW w:w="77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0,68</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0,38</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7</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0,24</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20</w:t>
            </w:r>
          </w:p>
        </w:tc>
        <w:tc>
          <w:tcPr>
            <w:tcW w:w="932"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0,37</w:t>
            </w:r>
          </w:p>
        </w:tc>
      </w:tr>
      <w:tr w:rsidR="00F451B4" w:rsidRPr="009C4D9D" w:rsidTr="00DA0C9B">
        <w:trPr>
          <w:trHeight w:val="300"/>
        </w:trPr>
        <w:tc>
          <w:tcPr>
            <w:tcW w:w="724" w:type="dxa"/>
            <w:vMerge/>
            <w:tcBorders>
              <w:top w:val="nil"/>
              <w:left w:val="single" w:sz="4" w:space="0" w:color="auto"/>
              <w:bottom w:val="single" w:sz="4" w:space="0" w:color="000000"/>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nil"/>
              <w:left w:val="nil"/>
              <w:bottom w:val="nil"/>
              <w:right w:val="single" w:sz="4" w:space="0" w:color="auto"/>
            </w:tcBorders>
            <w:shd w:val="clear" w:color="000000" w:fill="C5D9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15-29</w:t>
            </w:r>
          </w:p>
        </w:tc>
        <w:tc>
          <w:tcPr>
            <w:tcW w:w="77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63</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5,29</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71</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5,10</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136</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4,65</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270</w:t>
            </w:r>
          </w:p>
        </w:tc>
        <w:tc>
          <w:tcPr>
            <w:tcW w:w="932"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4,90</w:t>
            </w:r>
          </w:p>
        </w:tc>
      </w:tr>
      <w:tr w:rsidR="00F451B4" w:rsidRPr="009C4D9D" w:rsidTr="00DA0C9B">
        <w:trPr>
          <w:trHeight w:val="300"/>
        </w:trPr>
        <w:tc>
          <w:tcPr>
            <w:tcW w:w="724" w:type="dxa"/>
            <w:vMerge/>
            <w:tcBorders>
              <w:top w:val="nil"/>
              <w:left w:val="single" w:sz="4" w:space="0" w:color="auto"/>
              <w:bottom w:val="single" w:sz="4" w:space="0" w:color="000000"/>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nil"/>
              <w:left w:val="nil"/>
              <w:bottom w:val="nil"/>
              <w:right w:val="single" w:sz="4" w:space="0" w:color="auto"/>
            </w:tcBorders>
            <w:shd w:val="clear" w:color="000000" w:fill="C5D9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30-64</w:t>
            </w:r>
          </w:p>
        </w:tc>
        <w:tc>
          <w:tcPr>
            <w:tcW w:w="77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7.165</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171,32</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8.207</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168,16</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18.001</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173,36</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33.373</w:t>
            </w:r>
          </w:p>
        </w:tc>
        <w:tc>
          <w:tcPr>
            <w:tcW w:w="932"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171,61</w:t>
            </w:r>
          </w:p>
        </w:tc>
      </w:tr>
      <w:tr w:rsidR="00F451B4" w:rsidRPr="009C4D9D" w:rsidTr="00DA0C9B">
        <w:trPr>
          <w:trHeight w:val="300"/>
        </w:trPr>
        <w:tc>
          <w:tcPr>
            <w:tcW w:w="724" w:type="dxa"/>
            <w:vMerge/>
            <w:tcBorders>
              <w:top w:val="nil"/>
              <w:left w:val="single" w:sz="4" w:space="0" w:color="auto"/>
              <w:bottom w:val="single" w:sz="4" w:space="0" w:color="000000"/>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nil"/>
              <w:left w:val="nil"/>
              <w:bottom w:val="nil"/>
              <w:right w:val="single" w:sz="4" w:space="0" w:color="auto"/>
            </w:tcBorders>
            <w:shd w:val="clear" w:color="000000" w:fill="C5D9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65-74</w:t>
            </w:r>
          </w:p>
        </w:tc>
        <w:tc>
          <w:tcPr>
            <w:tcW w:w="771"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5.548</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625,58</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6.551</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613,73</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13.361</w:t>
            </w:r>
          </w:p>
        </w:tc>
        <w:tc>
          <w:tcPr>
            <w:tcW w:w="932"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628,81</w:t>
            </w:r>
          </w:p>
        </w:tc>
        <w:tc>
          <w:tcPr>
            <w:tcW w:w="934" w:type="dxa"/>
            <w:tcBorders>
              <w:top w:val="nil"/>
              <w:left w:val="nil"/>
              <w:bottom w:val="nil"/>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25.460</w:t>
            </w:r>
          </w:p>
        </w:tc>
        <w:tc>
          <w:tcPr>
            <w:tcW w:w="932" w:type="dxa"/>
            <w:tcBorders>
              <w:top w:val="nil"/>
              <w:left w:val="nil"/>
              <w:bottom w:val="nil"/>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624,16</w:t>
            </w:r>
          </w:p>
        </w:tc>
      </w:tr>
      <w:tr w:rsidR="00F451B4" w:rsidRPr="009C4D9D" w:rsidTr="00DA0C9B">
        <w:trPr>
          <w:trHeight w:val="315"/>
        </w:trPr>
        <w:tc>
          <w:tcPr>
            <w:tcW w:w="724" w:type="dxa"/>
            <w:vMerge/>
            <w:tcBorders>
              <w:top w:val="nil"/>
              <w:left w:val="single" w:sz="4" w:space="0" w:color="auto"/>
              <w:bottom w:val="single" w:sz="4" w:space="0" w:color="000000"/>
              <w:right w:val="single" w:sz="8" w:space="0" w:color="auto"/>
            </w:tcBorders>
            <w:vAlign w:val="center"/>
            <w:hideMark/>
          </w:tcPr>
          <w:p w:rsidR="009C4D9D" w:rsidRPr="009C4D9D" w:rsidRDefault="009C4D9D" w:rsidP="009C4D9D">
            <w:pPr>
              <w:spacing w:after="0" w:line="240" w:lineRule="auto"/>
              <w:rPr>
                <w:rFonts w:ascii="Calibri" w:eastAsia="Times New Roman" w:hAnsi="Calibri" w:cs="Times New Roman"/>
                <w:lang w:eastAsia="it-IT"/>
              </w:rPr>
            </w:pPr>
          </w:p>
        </w:tc>
        <w:tc>
          <w:tcPr>
            <w:tcW w:w="1456" w:type="dxa"/>
            <w:tcBorders>
              <w:top w:val="nil"/>
              <w:left w:val="nil"/>
              <w:bottom w:val="single" w:sz="8" w:space="0" w:color="auto"/>
              <w:right w:val="single" w:sz="4" w:space="0" w:color="auto"/>
            </w:tcBorders>
            <w:shd w:val="clear" w:color="000000" w:fill="C5D9F1"/>
            <w:noWrap/>
            <w:vAlign w:val="bottom"/>
            <w:hideMark/>
          </w:tcPr>
          <w:p w:rsidR="009C4D9D" w:rsidRPr="009C4D9D" w:rsidRDefault="009C4D9D" w:rsidP="009C4D9D">
            <w:pPr>
              <w:spacing w:after="0" w:line="240" w:lineRule="auto"/>
              <w:rPr>
                <w:rFonts w:ascii="Calibri" w:eastAsia="Times New Roman" w:hAnsi="Calibri" w:cs="Times New Roman"/>
                <w:b/>
                <w:bCs/>
                <w:lang w:eastAsia="it-IT"/>
              </w:rPr>
            </w:pPr>
            <w:r w:rsidRPr="009C4D9D">
              <w:rPr>
                <w:rFonts w:ascii="Calibri" w:eastAsia="Times New Roman" w:hAnsi="Calibri" w:cs="Times New Roman"/>
                <w:b/>
                <w:bCs/>
                <w:lang w:eastAsia="it-IT"/>
              </w:rPr>
              <w:t>75+</w:t>
            </w:r>
          </w:p>
        </w:tc>
        <w:tc>
          <w:tcPr>
            <w:tcW w:w="771"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5.631</w:t>
            </w:r>
          </w:p>
        </w:tc>
        <w:tc>
          <w:tcPr>
            <w:tcW w:w="932"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862,79</w:t>
            </w:r>
          </w:p>
        </w:tc>
        <w:tc>
          <w:tcPr>
            <w:tcW w:w="934"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8.070</w:t>
            </w:r>
          </w:p>
        </w:tc>
        <w:tc>
          <w:tcPr>
            <w:tcW w:w="932"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837,40</w:t>
            </w:r>
          </w:p>
        </w:tc>
        <w:tc>
          <w:tcPr>
            <w:tcW w:w="934"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15.956</w:t>
            </w:r>
          </w:p>
        </w:tc>
        <w:tc>
          <w:tcPr>
            <w:tcW w:w="932"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848,16</w:t>
            </w:r>
          </w:p>
        </w:tc>
        <w:tc>
          <w:tcPr>
            <w:tcW w:w="934" w:type="dxa"/>
            <w:tcBorders>
              <w:top w:val="nil"/>
              <w:left w:val="nil"/>
              <w:bottom w:val="single" w:sz="8" w:space="0" w:color="auto"/>
              <w:right w:val="nil"/>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29.657</w:t>
            </w:r>
          </w:p>
        </w:tc>
        <w:tc>
          <w:tcPr>
            <w:tcW w:w="932" w:type="dxa"/>
            <w:tcBorders>
              <w:top w:val="nil"/>
              <w:left w:val="nil"/>
              <w:bottom w:val="single" w:sz="8" w:space="0" w:color="auto"/>
              <w:right w:val="single" w:sz="8" w:space="0" w:color="auto"/>
            </w:tcBorders>
            <w:shd w:val="clear" w:color="000000" w:fill="DCE6F1"/>
            <w:noWrap/>
            <w:vAlign w:val="bottom"/>
            <w:hideMark/>
          </w:tcPr>
          <w:p w:rsidR="009C4D9D" w:rsidRPr="009C4D9D" w:rsidRDefault="009C4D9D" w:rsidP="009C4D9D">
            <w:pPr>
              <w:spacing w:after="0" w:line="240" w:lineRule="auto"/>
              <w:jc w:val="right"/>
              <w:rPr>
                <w:rFonts w:ascii="Calibri" w:eastAsia="Times New Roman" w:hAnsi="Calibri" w:cs="Times New Roman"/>
                <w:lang w:eastAsia="it-IT"/>
              </w:rPr>
            </w:pPr>
            <w:r w:rsidRPr="009C4D9D">
              <w:rPr>
                <w:rFonts w:ascii="Calibri" w:eastAsia="Times New Roman" w:hAnsi="Calibri" w:cs="Times New Roman"/>
                <w:lang w:eastAsia="it-IT"/>
              </w:rPr>
              <w:t>847,92</w:t>
            </w:r>
          </w:p>
        </w:tc>
      </w:tr>
    </w:tbl>
    <w:p w:rsidR="009C4D9D" w:rsidRDefault="009C4D9D" w:rsidP="004D2786">
      <w:pPr>
        <w:pStyle w:val="Nessunaspaziatura"/>
        <w:jc w:val="both"/>
      </w:pPr>
    </w:p>
    <w:p w:rsidR="009C4D9D" w:rsidRDefault="009C4D9D" w:rsidP="004D2786">
      <w:pPr>
        <w:pStyle w:val="Nessunaspaziatura"/>
        <w:jc w:val="both"/>
      </w:pPr>
    </w:p>
    <w:p w:rsidR="009C4D9D" w:rsidRPr="0010623F" w:rsidRDefault="009C4D9D" w:rsidP="004D2786">
      <w:pPr>
        <w:pStyle w:val="Nessunaspaziatura"/>
        <w:jc w:val="both"/>
      </w:pPr>
      <w:r>
        <w:rPr>
          <w:noProof/>
          <w:lang w:eastAsia="it-IT"/>
        </w:rPr>
        <w:lastRenderedPageBreak/>
        <w:drawing>
          <wp:inline distT="0" distB="0" distL="0" distR="0" wp14:anchorId="508129AE" wp14:editId="0628D041">
            <wp:extent cx="5867400" cy="2295525"/>
            <wp:effectExtent l="0" t="0" r="19050" b="9525"/>
            <wp:docPr id="72" name="Grafico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B62140" w:rsidRPr="0010623F" w:rsidRDefault="00B62140" w:rsidP="00B62140">
      <w:pPr>
        <w:pStyle w:val="Nessunaspaziatura"/>
        <w:jc w:val="both"/>
        <w:rPr>
          <w:rFonts w:ascii="Arial" w:hAnsi="Arial" w:cs="Arial"/>
        </w:rPr>
      </w:pPr>
    </w:p>
    <w:p w:rsidR="00B62140" w:rsidRDefault="00B62140" w:rsidP="00B62140">
      <w:pPr>
        <w:pStyle w:val="Nessunaspaziatura"/>
        <w:jc w:val="both"/>
        <w:rPr>
          <w:rFonts w:ascii="Arial" w:hAnsi="Arial" w:cs="Arial"/>
          <w:b/>
        </w:rPr>
      </w:pPr>
    </w:p>
    <w:tbl>
      <w:tblPr>
        <w:tblW w:w="9480" w:type="dxa"/>
        <w:tblInd w:w="55" w:type="dxa"/>
        <w:tblCellMar>
          <w:left w:w="70" w:type="dxa"/>
          <w:right w:w="70" w:type="dxa"/>
        </w:tblCellMar>
        <w:tblLook w:val="04A0" w:firstRow="1" w:lastRow="0" w:firstColumn="1" w:lastColumn="0" w:noHBand="0" w:noVBand="1"/>
      </w:tblPr>
      <w:tblGrid>
        <w:gridCol w:w="960"/>
        <w:gridCol w:w="1220"/>
        <w:gridCol w:w="808"/>
        <w:gridCol w:w="976"/>
        <w:gridCol w:w="807"/>
        <w:gridCol w:w="975"/>
        <w:gridCol w:w="807"/>
        <w:gridCol w:w="975"/>
        <w:gridCol w:w="977"/>
        <w:gridCol w:w="975"/>
      </w:tblGrid>
      <w:tr w:rsidR="003966C8" w:rsidRPr="003966C8" w:rsidTr="003966C8">
        <w:trPr>
          <w:trHeight w:val="300"/>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3966C8" w:rsidRPr="006177DA" w:rsidRDefault="003966C8" w:rsidP="003966C8">
            <w:pPr>
              <w:spacing w:after="0" w:line="240" w:lineRule="auto"/>
              <w:rPr>
                <w:rFonts w:ascii="Calibri" w:eastAsia="Times New Roman" w:hAnsi="Calibri" w:cs="Times New Roman"/>
                <w:b/>
                <w:lang w:eastAsia="it-IT"/>
              </w:rPr>
            </w:pPr>
            <w:r w:rsidRPr="003966C8">
              <w:rPr>
                <w:rFonts w:ascii="Calibri" w:eastAsia="Times New Roman" w:hAnsi="Calibri" w:cs="Times New Roman"/>
                <w:b/>
                <w:lang w:eastAsia="it-IT"/>
              </w:rPr>
              <w:t>Sesso</w:t>
            </w:r>
          </w:p>
          <w:p w:rsidR="006177DA" w:rsidRPr="003966C8" w:rsidRDefault="006177DA" w:rsidP="003966C8">
            <w:pPr>
              <w:spacing w:after="0" w:line="240" w:lineRule="auto"/>
              <w:rPr>
                <w:rFonts w:ascii="Calibri" w:eastAsia="Times New Roman" w:hAnsi="Calibri" w:cs="Times New Roman"/>
                <w:lang w:eastAsia="it-IT"/>
              </w:rPr>
            </w:pPr>
          </w:p>
        </w:tc>
        <w:tc>
          <w:tcPr>
            <w:tcW w:w="1220" w:type="dxa"/>
            <w:vMerge w:val="restart"/>
            <w:tcBorders>
              <w:top w:val="single" w:sz="8" w:space="0" w:color="auto"/>
              <w:left w:val="nil"/>
              <w:bottom w:val="single" w:sz="8" w:space="0" w:color="000000"/>
              <w:right w:val="single" w:sz="8" w:space="0" w:color="auto"/>
            </w:tcBorders>
            <w:shd w:val="clear" w:color="auto" w:fill="auto"/>
            <w:noWrap/>
            <w:vAlign w:val="center"/>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Classi di età</w:t>
            </w:r>
          </w:p>
        </w:tc>
        <w:tc>
          <w:tcPr>
            <w:tcW w:w="7300" w:type="dxa"/>
            <w:gridSpan w:val="8"/>
            <w:tcBorders>
              <w:top w:val="single" w:sz="8" w:space="0" w:color="auto"/>
              <w:left w:val="nil"/>
              <w:bottom w:val="nil"/>
              <w:right w:val="single" w:sz="8" w:space="0" w:color="000000"/>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DISLIPIDEMIE</w:t>
            </w:r>
          </w:p>
        </w:tc>
      </w:tr>
      <w:tr w:rsidR="003966C8" w:rsidRPr="003966C8" w:rsidTr="003966C8">
        <w:trPr>
          <w:trHeight w:val="300"/>
        </w:trPr>
        <w:tc>
          <w:tcPr>
            <w:tcW w:w="960" w:type="dxa"/>
            <w:vMerge/>
            <w:tcBorders>
              <w:top w:val="single" w:sz="4" w:space="0" w:color="auto"/>
              <w:left w:val="single" w:sz="4" w:space="0" w:color="auto"/>
              <w:bottom w:val="single" w:sz="4" w:space="0" w:color="000000"/>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vMerge/>
            <w:tcBorders>
              <w:top w:val="single" w:sz="8" w:space="0" w:color="auto"/>
              <w:left w:val="nil"/>
              <w:bottom w:val="single" w:sz="8" w:space="0" w:color="000000"/>
              <w:right w:val="single" w:sz="8" w:space="0" w:color="auto"/>
            </w:tcBorders>
            <w:vAlign w:val="center"/>
            <w:hideMark/>
          </w:tcPr>
          <w:p w:rsidR="003966C8" w:rsidRPr="003966C8" w:rsidRDefault="003966C8" w:rsidP="003966C8">
            <w:pPr>
              <w:spacing w:after="0" w:line="240" w:lineRule="auto"/>
              <w:rPr>
                <w:rFonts w:ascii="Calibri" w:eastAsia="Times New Roman" w:hAnsi="Calibri" w:cs="Times New Roman"/>
                <w:b/>
                <w:bCs/>
                <w:lang w:eastAsia="it-IT"/>
              </w:rPr>
            </w:pPr>
          </w:p>
        </w:tc>
        <w:tc>
          <w:tcPr>
            <w:tcW w:w="1784" w:type="dxa"/>
            <w:gridSpan w:val="2"/>
            <w:tcBorders>
              <w:top w:val="nil"/>
              <w:left w:val="nil"/>
              <w:bottom w:val="nil"/>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CREMA</w:t>
            </w:r>
          </w:p>
        </w:tc>
        <w:tc>
          <w:tcPr>
            <w:tcW w:w="1782" w:type="dxa"/>
            <w:gridSpan w:val="2"/>
            <w:tcBorders>
              <w:top w:val="nil"/>
              <w:left w:val="nil"/>
              <w:bottom w:val="nil"/>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CREMONA</w:t>
            </w:r>
          </w:p>
        </w:tc>
        <w:tc>
          <w:tcPr>
            <w:tcW w:w="1782" w:type="dxa"/>
            <w:gridSpan w:val="2"/>
            <w:tcBorders>
              <w:top w:val="nil"/>
              <w:left w:val="nil"/>
              <w:bottom w:val="nil"/>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MANTOVA</w:t>
            </w:r>
          </w:p>
        </w:tc>
        <w:tc>
          <w:tcPr>
            <w:tcW w:w="1952" w:type="dxa"/>
            <w:gridSpan w:val="2"/>
            <w:tcBorders>
              <w:top w:val="nil"/>
              <w:left w:val="nil"/>
              <w:bottom w:val="nil"/>
              <w:right w:val="single" w:sz="8" w:space="0" w:color="000000"/>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ATS</w:t>
            </w:r>
          </w:p>
        </w:tc>
      </w:tr>
      <w:tr w:rsidR="003966C8" w:rsidRPr="003966C8" w:rsidTr="003966C8">
        <w:trPr>
          <w:trHeight w:val="315"/>
        </w:trPr>
        <w:tc>
          <w:tcPr>
            <w:tcW w:w="960" w:type="dxa"/>
            <w:vMerge/>
            <w:tcBorders>
              <w:top w:val="single" w:sz="4" w:space="0" w:color="auto"/>
              <w:left w:val="single" w:sz="4" w:space="0" w:color="auto"/>
              <w:bottom w:val="single" w:sz="4" w:space="0" w:color="auto"/>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vMerge/>
            <w:tcBorders>
              <w:top w:val="single" w:sz="8" w:space="0" w:color="auto"/>
              <w:left w:val="nil"/>
              <w:bottom w:val="single" w:sz="8" w:space="0" w:color="000000"/>
              <w:right w:val="single" w:sz="8" w:space="0" w:color="auto"/>
            </w:tcBorders>
            <w:vAlign w:val="center"/>
            <w:hideMark/>
          </w:tcPr>
          <w:p w:rsidR="003966C8" w:rsidRPr="003966C8" w:rsidRDefault="003966C8" w:rsidP="003966C8">
            <w:pPr>
              <w:spacing w:after="0" w:line="240" w:lineRule="auto"/>
              <w:rPr>
                <w:rFonts w:ascii="Calibri" w:eastAsia="Times New Roman" w:hAnsi="Calibri" w:cs="Times New Roman"/>
                <w:b/>
                <w:bCs/>
                <w:lang w:eastAsia="it-IT"/>
              </w:rPr>
            </w:pPr>
          </w:p>
        </w:tc>
        <w:tc>
          <w:tcPr>
            <w:tcW w:w="808" w:type="dxa"/>
            <w:tcBorders>
              <w:top w:val="nil"/>
              <w:left w:val="nil"/>
              <w:bottom w:val="single" w:sz="8" w:space="0" w:color="auto"/>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N</w:t>
            </w:r>
          </w:p>
        </w:tc>
        <w:tc>
          <w:tcPr>
            <w:tcW w:w="976" w:type="dxa"/>
            <w:tcBorders>
              <w:top w:val="nil"/>
              <w:left w:val="nil"/>
              <w:bottom w:val="single" w:sz="8" w:space="0" w:color="auto"/>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TASSO</w:t>
            </w:r>
          </w:p>
        </w:tc>
        <w:tc>
          <w:tcPr>
            <w:tcW w:w="807" w:type="dxa"/>
            <w:tcBorders>
              <w:top w:val="nil"/>
              <w:left w:val="nil"/>
              <w:bottom w:val="single" w:sz="8" w:space="0" w:color="auto"/>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N</w:t>
            </w:r>
          </w:p>
        </w:tc>
        <w:tc>
          <w:tcPr>
            <w:tcW w:w="975" w:type="dxa"/>
            <w:tcBorders>
              <w:top w:val="nil"/>
              <w:left w:val="nil"/>
              <w:bottom w:val="single" w:sz="8" w:space="0" w:color="auto"/>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TASSO</w:t>
            </w:r>
          </w:p>
        </w:tc>
        <w:tc>
          <w:tcPr>
            <w:tcW w:w="807" w:type="dxa"/>
            <w:tcBorders>
              <w:top w:val="nil"/>
              <w:left w:val="nil"/>
              <w:bottom w:val="single" w:sz="8" w:space="0" w:color="auto"/>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N</w:t>
            </w:r>
          </w:p>
        </w:tc>
        <w:tc>
          <w:tcPr>
            <w:tcW w:w="975" w:type="dxa"/>
            <w:tcBorders>
              <w:top w:val="nil"/>
              <w:left w:val="nil"/>
              <w:bottom w:val="single" w:sz="8" w:space="0" w:color="auto"/>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TASSO</w:t>
            </w:r>
          </w:p>
        </w:tc>
        <w:tc>
          <w:tcPr>
            <w:tcW w:w="977" w:type="dxa"/>
            <w:tcBorders>
              <w:top w:val="nil"/>
              <w:left w:val="nil"/>
              <w:bottom w:val="single" w:sz="8" w:space="0" w:color="auto"/>
              <w:right w:val="nil"/>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N</w:t>
            </w:r>
          </w:p>
        </w:tc>
        <w:tc>
          <w:tcPr>
            <w:tcW w:w="975" w:type="dxa"/>
            <w:tcBorders>
              <w:top w:val="nil"/>
              <w:left w:val="nil"/>
              <w:bottom w:val="single" w:sz="8" w:space="0" w:color="auto"/>
              <w:right w:val="single" w:sz="8" w:space="0" w:color="auto"/>
            </w:tcBorders>
            <w:shd w:val="clear" w:color="000000" w:fill="E4DFEC"/>
            <w:noWrap/>
            <w:vAlign w:val="bottom"/>
            <w:hideMark/>
          </w:tcPr>
          <w:p w:rsidR="003966C8" w:rsidRPr="003966C8" w:rsidRDefault="003966C8" w:rsidP="003966C8">
            <w:pPr>
              <w:spacing w:after="0" w:line="240" w:lineRule="auto"/>
              <w:jc w:val="center"/>
              <w:rPr>
                <w:rFonts w:ascii="Calibri" w:eastAsia="Times New Roman" w:hAnsi="Calibri" w:cs="Times New Roman"/>
                <w:b/>
                <w:bCs/>
                <w:lang w:eastAsia="it-IT"/>
              </w:rPr>
            </w:pPr>
            <w:r w:rsidRPr="003966C8">
              <w:rPr>
                <w:rFonts w:ascii="Calibri" w:eastAsia="Times New Roman" w:hAnsi="Calibri" w:cs="Times New Roman"/>
                <w:b/>
                <w:bCs/>
                <w:lang w:eastAsia="it-IT"/>
              </w:rPr>
              <w:t>TASSO</w:t>
            </w:r>
          </w:p>
        </w:tc>
      </w:tr>
      <w:tr w:rsidR="003966C8" w:rsidRPr="003966C8" w:rsidTr="003966C8">
        <w:trPr>
          <w:trHeight w:val="300"/>
        </w:trPr>
        <w:tc>
          <w:tcPr>
            <w:tcW w:w="960" w:type="dxa"/>
            <w:vMerge w:val="restart"/>
            <w:tcBorders>
              <w:top w:val="single" w:sz="4" w:space="0" w:color="auto"/>
              <w:left w:val="single" w:sz="4" w:space="0" w:color="auto"/>
              <w:bottom w:val="single" w:sz="4" w:space="0" w:color="auto"/>
              <w:right w:val="single" w:sz="4" w:space="0" w:color="auto"/>
            </w:tcBorders>
            <w:shd w:val="clear" w:color="000000" w:fill="F2DCDB"/>
            <w:noWrap/>
            <w:vAlign w:val="bottom"/>
            <w:hideMark/>
          </w:tcPr>
          <w:p w:rsidR="003966C8" w:rsidRDefault="003966C8" w:rsidP="003966C8">
            <w:pPr>
              <w:spacing w:after="0" w:line="240" w:lineRule="auto"/>
              <w:rPr>
                <w:rFonts w:ascii="Calibri" w:eastAsia="Times New Roman" w:hAnsi="Calibri" w:cs="Times New Roman"/>
                <w:lang w:eastAsia="it-IT"/>
              </w:rPr>
            </w:pPr>
            <w:r w:rsidRPr="003966C8">
              <w:rPr>
                <w:rFonts w:ascii="Calibri" w:eastAsia="Times New Roman" w:hAnsi="Calibri" w:cs="Times New Roman"/>
                <w:lang w:eastAsia="it-IT"/>
              </w:rPr>
              <w:t>F</w:t>
            </w:r>
          </w:p>
          <w:p w:rsidR="003966C8" w:rsidRDefault="003966C8" w:rsidP="003966C8">
            <w:pPr>
              <w:spacing w:after="0" w:line="240" w:lineRule="auto"/>
              <w:rPr>
                <w:rFonts w:ascii="Calibri" w:eastAsia="Times New Roman" w:hAnsi="Calibri" w:cs="Times New Roman"/>
                <w:lang w:eastAsia="it-IT"/>
              </w:rPr>
            </w:pPr>
          </w:p>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nil"/>
              <w:right w:val="single" w:sz="8" w:space="0" w:color="auto"/>
            </w:tcBorders>
            <w:shd w:val="clear" w:color="000000" w:fill="F2DCDB"/>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00-14</w:t>
            </w:r>
          </w:p>
        </w:tc>
        <w:tc>
          <w:tcPr>
            <w:tcW w:w="808"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w:t>
            </w:r>
          </w:p>
        </w:tc>
        <w:tc>
          <w:tcPr>
            <w:tcW w:w="976"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0,09</w:t>
            </w:r>
          </w:p>
        </w:tc>
        <w:tc>
          <w:tcPr>
            <w:tcW w:w="80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w:t>
            </w:r>
          </w:p>
        </w:tc>
        <w:tc>
          <w:tcPr>
            <w:tcW w:w="975"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0,00</w:t>
            </w:r>
          </w:p>
        </w:tc>
        <w:tc>
          <w:tcPr>
            <w:tcW w:w="80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w:t>
            </w:r>
          </w:p>
        </w:tc>
        <w:tc>
          <w:tcPr>
            <w:tcW w:w="975"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0,07</w:t>
            </w:r>
          </w:p>
        </w:tc>
        <w:tc>
          <w:tcPr>
            <w:tcW w:w="97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3</w:t>
            </w:r>
          </w:p>
        </w:tc>
        <w:tc>
          <w:tcPr>
            <w:tcW w:w="975" w:type="dxa"/>
            <w:tcBorders>
              <w:top w:val="nil"/>
              <w:left w:val="nil"/>
              <w:bottom w:val="nil"/>
              <w:right w:val="single" w:sz="8" w:space="0" w:color="auto"/>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0,06</w:t>
            </w:r>
          </w:p>
        </w:tc>
      </w:tr>
      <w:tr w:rsidR="003966C8" w:rsidRPr="003966C8" w:rsidTr="003966C8">
        <w:trPr>
          <w:trHeight w:val="300"/>
        </w:trPr>
        <w:tc>
          <w:tcPr>
            <w:tcW w:w="960" w:type="dxa"/>
            <w:vMerge/>
            <w:tcBorders>
              <w:top w:val="nil"/>
              <w:left w:val="single" w:sz="4" w:space="0" w:color="auto"/>
              <w:bottom w:val="single" w:sz="4" w:space="0" w:color="auto"/>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nil"/>
              <w:right w:val="single" w:sz="8" w:space="0" w:color="auto"/>
            </w:tcBorders>
            <w:shd w:val="clear" w:color="000000" w:fill="F2DCDB"/>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15-29</w:t>
            </w:r>
          </w:p>
        </w:tc>
        <w:tc>
          <w:tcPr>
            <w:tcW w:w="808"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11</w:t>
            </w:r>
          </w:p>
        </w:tc>
        <w:tc>
          <w:tcPr>
            <w:tcW w:w="976"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0,96</w:t>
            </w:r>
          </w:p>
        </w:tc>
        <w:tc>
          <w:tcPr>
            <w:tcW w:w="80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11</w:t>
            </w:r>
          </w:p>
        </w:tc>
        <w:tc>
          <w:tcPr>
            <w:tcW w:w="975"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0,83</w:t>
            </w:r>
          </w:p>
        </w:tc>
        <w:tc>
          <w:tcPr>
            <w:tcW w:w="80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18</w:t>
            </w:r>
          </w:p>
        </w:tc>
        <w:tc>
          <w:tcPr>
            <w:tcW w:w="975"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0,65</w:t>
            </w:r>
          </w:p>
        </w:tc>
        <w:tc>
          <w:tcPr>
            <w:tcW w:w="97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40</w:t>
            </w:r>
          </w:p>
        </w:tc>
        <w:tc>
          <w:tcPr>
            <w:tcW w:w="975" w:type="dxa"/>
            <w:tcBorders>
              <w:top w:val="nil"/>
              <w:left w:val="nil"/>
              <w:bottom w:val="nil"/>
              <w:right w:val="single" w:sz="8" w:space="0" w:color="auto"/>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0,77</w:t>
            </w:r>
          </w:p>
        </w:tc>
      </w:tr>
      <w:tr w:rsidR="003966C8" w:rsidRPr="003966C8" w:rsidTr="003966C8">
        <w:trPr>
          <w:trHeight w:val="300"/>
        </w:trPr>
        <w:tc>
          <w:tcPr>
            <w:tcW w:w="960" w:type="dxa"/>
            <w:vMerge/>
            <w:tcBorders>
              <w:top w:val="nil"/>
              <w:left w:val="single" w:sz="4" w:space="0" w:color="auto"/>
              <w:bottom w:val="single" w:sz="4" w:space="0" w:color="auto"/>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nil"/>
              <w:right w:val="single" w:sz="8" w:space="0" w:color="auto"/>
            </w:tcBorders>
            <w:shd w:val="clear" w:color="000000" w:fill="F2DCDB"/>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30-64</w:t>
            </w:r>
          </w:p>
        </w:tc>
        <w:tc>
          <w:tcPr>
            <w:tcW w:w="808"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896</w:t>
            </w:r>
          </w:p>
        </w:tc>
        <w:tc>
          <w:tcPr>
            <w:tcW w:w="976"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21,94</w:t>
            </w:r>
          </w:p>
        </w:tc>
        <w:tc>
          <w:tcPr>
            <w:tcW w:w="80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1.252</w:t>
            </w:r>
          </w:p>
        </w:tc>
        <w:tc>
          <w:tcPr>
            <w:tcW w:w="975"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26,46</w:t>
            </w:r>
          </w:p>
        </w:tc>
        <w:tc>
          <w:tcPr>
            <w:tcW w:w="80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3.416</w:t>
            </w:r>
          </w:p>
        </w:tc>
        <w:tc>
          <w:tcPr>
            <w:tcW w:w="975"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33,54</w:t>
            </w:r>
          </w:p>
        </w:tc>
        <w:tc>
          <w:tcPr>
            <w:tcW w:w="97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5.564</w:t>
            </w:r>
          </w:p>
        </w:tc>
        <w:tc>
          <w:tcPr>
            <w:tcW w:w="975" w:type="dxa"/>
            <w:tcBorders>
              <w:top w:val="nil"/>
              <w:left w:val="nil"/>
              <w:bottom w:val="nil"/>
              <w:right w:val="single" w:sz="8" w:space="0" w:color="auto"/>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29,28</w:t>
            </w:r>
          </w:p>
        </w:tc>
      </w:tr>
      <w:tr w:rsidR="003966C8" w:rsidRPr="003966C8" w:rsidTr="003966C8">
        <w:trPr>
          <w:trHeight w:val="300"/>
        </w:trPr>
        <w:tc>
          <w:tcPr>
            <w:tcW w:w="960" w:type="dxa"/>
            <w:vMerge/>
            <w:tcBorders>
              <w:top w:val="nil"/>
              <w:left w:val="single" w:sz="4" w:space="0" w:color="auto"/>
              <w:bottom w:val="single" w:sz="4" w:space="0" w:color="auto"/>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nil"/>
              <w:right w:val="single" w:sz="8" w:space="0" w:color="auto"/>
            </w:tcBorders>
            <w:shd w:val="clear" w:color="000000" w:fill="F2DCDB"/>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65-74</w:t>
            </w:r>
          </w:p>
        </w:tc>
        <w:tc>
          <w:tcPr>
            <w:tcW w:w="808"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1.156</w:t>
            </w:r>
          </w:p>
        </w:tc>
        <w:tc>
          <w:tcPr>
            <w:tcW w:w="976"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127,86</w:t>
            </w:r>
          </w:p>
        </w:tc>
        <w:tc>
          <w:tcPr>
            <w:tcW w:w="80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2.003</w:t>
            </w:r>
          </w:p>
        </w:tc>
        <w:tc>
          <w:tcPr>
            <w:tcW w:w="975"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165,70</w:t>
            </w:r>
          </w:p>
        </w:tc>
        <w:tc>
          <w:tcPr>
            <w:tcW w:w="80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4.980</w:t>
            </w:r>
          </w:p>
        </w:tc>
        <w:tc>
          <w:tcPr>
            <w:tcW w:w="975"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208,87</w:t>
            </w:r>
          </w:p>
        </w:tc>
        <w:tc>
          <w:tcPr>
            <w:tcW w:w="977" w:type="dxa"/>
            <w:tcBorders>
              <w:top w:val="nil"/>
              <w:left w:val="nil"/>
              <w:bottom w:val="nil"/>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8.139</w:t>
            </w:r>
          </w:p>
        </w:tc>
        <w:tc>
          <w:tcPr>
            <w:tcW w:w="975" w:type="dxa"/>
            <w:tcBorders>
              <w:top w:val="nil"/>
              <w:left w:val="nil"/>
              <w:bottom w:val="nil"/>
              <w:right w:val="single" w:sz="8" w:space="0" w:color="auto"/>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180,98</w:t>
            </w:r>
          </w:p>
        </w:tc>
      </w:tr>
      <w:tr w:rsidR="003966C8" w:rsidRPr="003966C8" w:rsidTr="003966C8">
        <w:trPr>
          <w:trHeight w:val="315"/>
        </w:trPr>
        <w:tc>
          <w:tcPr>
            <w:tcW w:w="960" w:type="dxa"/>
            <w:vMerge/>
            <w:tcBorders>
              <w:top w:val="nil"/>
              <w:left w:val="single" w:sz="4" w:space="0" w:color="auto"/>
              <w:bottom w:val="single" w:sz="4" w:space="0" w:color="auto"/>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single" w:sz="8" w:space="0" w:color="auto"/>
              <w:right w:val="single" w:sz="8" w:space="0" w:color="auto"/>
            </w:tcBorders>
            <w:shd w:val="clear" w:color="000000" w:fill="F2DCDB"/>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75+</w:t>
            </w:r>
          </w:p>
        </w:tc>
        <w:tc>
          <w:tcPr>
            <w:tcW w:w="808" w:type="dxa"/>
            <w:tcBorders>
              <w:top w:val="nil"/>
              <w:left w:val="nil"/>
              <w:bottom w:val="single" w:sz="8" w:space="0" w:color="auto"/>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1.572</w:t>
            </w:r>
          </w:p>
        </w:tc>
        <w:tc>
          <w:tcPr>
            <w:tcW w:w="976" w:type="dxa"/>
            <w:tcBorders>
              <w:top w:val="nil"/>
              <w:left w:val="nil"/>
              <w:bottom w:val="single" w:sz="8" w:space="0" w:color="auto"/>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151,68</w:t>
            </w:r>
          </w:p>
        </w:tc>
        <w:tc>
          <w:tcPr>
            <w:tcW w:w="807" w:type="dxa"/>
            <w:tcBorders>
              <w:top w:val="nil"/>
              <w:left w:val="nil"/>
              <w:bottom w:val="single" w:sz="8" w:space="0" w:color="auto"/>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2.996</w:t>
            </w:r>
          </w:p>
        </w:tc>
        <w:tc>
          <w:tcPr>
            <w:tcW w:w="975" w:type="dxa"/>
            <w:tcBorders>
              <w:top w:val="nil"/>
              <w:left w:val="nil"/>
              <w:bottom w:val="single" w:sz="8" w:space="0" w:color="auto"/>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178,26</w:t>
            </w:r>
          </w:p>
        </w:tc>
        <w:tc>
          <w:tcPr>
            <w:tcW w:w="807" w:type="dxa"/>
            <w:tcBorders>
              <w:top w:val="nil"/>
              <w:left w:val="nil"/>
              <w:bottom w:val="single" w:sz="8" w:space="0" w:color="auto"/>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7.642</w:t>
            </w:r>
          </w:p>
        </w:tc>
        <w:tc>
          <w:tcPr>
            <w:tcW w:w="975" w:type="dxa"/>
            <w:tcBorders>
              <w:top w:val="nil"/>
              <w:left w:val="nil"/>
              <w:bottom w:val="single" w:sz="8" w:space="0" w:color="auto"/>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247,17</w:t>
            </w:r>
          </w:p>
        </w:tc>
        <w:tc>
          <w:tcPr>
            <w:tcW w:w="977" w:type="dxa"/>
            <w:tcBorders>
              <w:top w:val="nil"/>
              <w:left w:val="nil"/>
              <w:bottom w:val="single" w:sz="8" w:space="0" w:color="auto"/>
              <w:right w:val="nil"/>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12.210</w:t>
            </w:r>
          </w:p>
        </w:tc>
        <w:tc>
          <w:tcPr>
            <w:tcW w:w="975" w:type="dxa"/>
            <w:tcBorders>
              <w:top w:val="nil"/>
              <w:left w:val="nil"/>
              <w:bottom w:val="single" w:sz="8" w:space="0" w:color="auto"/>
              <w:right w:val="single" w:sz="8" w:space="0" w:color="auto"/>
            </w:tcBorders>
            <w:shd w:val="clear" w:color="000000" w:fill="F2DCDB"/>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210,20</w:t>
            </w:r>
          </w:p>
        </w:tc>
      </w:tr>
      <w:tr w:rsidR="003966C8" w:rsidRPr="003966C8" w:rsidTr="003966C8">
        <w:trPr>
          <w:trHeight w:val="300"/>
        </w:trPr>
        <w:tc>
          <w:tcPr>
            <w:tcW w:w="960" w:type="dxa"/>
            <w:vMerge w:val="restart"/>
            <w:tcBorders>
              <w:top w:val="single" w:sz="4" w:space="0" w:color="auto"/>
              <w:left w:val="single" w:sz="4" w:space="0" w:color="auto"/>
              <w:bottom w:val="single" w:sz="4" w:space="0" w:color="auto"/>
              <w:right w:val="single" w:sz="4" w:space="0" w:color="auto"/>
            </w:tcBorders>
            <w:shd w:val="clear" w:color="000000" w:fill="DCE6F1"/>
            <w:noWrap/>
            <w:vAlign w:val="bottom"/>
            <w:hideMark/>
          </w:tcPr>
          <w:p w:rsidR="003966C8" w:rsidRDefault="003966C8" w:rsidP="003966C8">
            <w:pPr>
              <w:spacing w:after="0" w:line="240" w:lineRule="auto"/>
              <w:rPr>
                <w:rFonts w:ascii="Calibri" w:eastAsia="Times New Roman" w:hAnsi="Calibri" w:cs="Times New Roman"/>
                <w:lang w:eastAsia="it-IT"/>
              </w:rPr>
            </w:pPr>
            <w:r w:rsidRPr="003966C8">
              <w:rPr>
                <w:rFonts w:ascii="Calibri" w:eastAsia="Times New Roman" w:hAnsi="Calibri" w:cs="Times New Roman"/>
                <w:lang w:eastAsia="it-IT"/>
              </w:rPr>
              <w:t>M</w:t>
            </w:r>
          </w:p>
          <w:p w:rsidR="003966C8" w:rsidRDefault="003966C8" w:rsidP="003966C8">
            <w:pPr>
              <w:spacing w:after="0" w:line="240" w:lineRule="auto"/>
              <w:rPr>
                <w:rFonts w:ascii="Calibri" w:eastAsia="Times New Roman" w:hAnsi="Calibri" w:cs="Times New Roman"/>
                <w:lang w:eastAsia="it-IT"/>
              </w:rPr>
            </w:pPr>
          </w:p>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nil"/>
              <w:right w:val="single" w:sz="8" w:space="0" w:color="auto"/>
            </w:tcBorders>
            <w:shd w:val="clear" w:color="000000" w:fill="DCE6F1"/>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00-14</w:t>
            </w:r>
          </w:p>
        </w:tc>
        <w:tc>
          <w:tcPr>
            <w:tcW w:w="808"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4</w:t>
            </w:r>
          </w:p>
        </w:tc>
        <w:tc>
          <w:tcPr>
            <w:tcW w:w="976"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0,34</w:t>
            </w:r>
          </w:p>
        </w:tc>
        <w:tc>
          <w:tcPr>
            <w:tcW w:w="80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w:t>
            </w:r>
          </w:p>
        </w:tc>
        <w:tc>
          <w:tcPr>
            <w:tcW w:w="975"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0,00</w:t>
            </w:r>
          </w:p>
        </w:tc>
        <w:tc>
          <w:tcPr>
            <w:tcW w:w="80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w:t>
            </w:r>
          </w:p>
        </w:tc>
        <w:tc>
          <w:tcPr>
            <w:tcW w:w="975"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0,00</w:t>
            </w:r>
          </w:p>
        </w:tc>
        <w:tc>
          <w:tcPr>
            <w:tcW w:w="97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4</w:t>
            </w:r>
          </w:p>
        </w:tc>
        <w:tc>
          <w:tcPr>
            <w:tcW w:w="975" w:type="dxa"/>
            <w:tcBorders>
              <w:top w:val="nil"/>
              <w:left w:val="nil"/>
              <w:bottom w:val="nil"/>
              <w:right w:val="single" w:sz="8" w:space="0" w:color="auto"/>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0,07</w:t>
            </w:r>
          </w:p>
        </w:tc>
      </w:tr>
      <w:tr w:rsidR="003966C8" w:rsidRPr="003966C8" w:rsidTr="003966C8">
        <w:trPr>
          <w:trHeight w:val="300"/>
        </w:trPr>
        <w:tc>
          <w:tcPr>
            <w:tcW w:w="960" w:type="dxa"/>
            <w:vMerge/>
            <w:tcBorders>
              <w:top w:val="nil"/>
              <w:left w:val="single" w:sz="4" w:space="0" w:color="auto"/>
              <w:bottom w:val="single" w:sz="4" w:space="0" w:color="auto"/>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nil"/>
              <w:right w:val="single" w:sz="8" w:space="0" w:color="auto"/>
            </w:tcBorders>
            <w:shd w:val="clear" w:color="000000" w:fill="DCE6F1"/>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15-29</w:t>
            </w:r>
          </w:p>
        </w:tc>
        <w:tc>
          <w:tcPr>
            <w:tcW w:w="808"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22</w:t>
            </w:r>
          </w:p>
        </w:tc>
        <w:tc>
          <w:tcPr>
            <w:tcW w:w="976"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1,85</w:t>
            </w:r>
          </w:p>
        </w:tc>
        <w:tc>
          <w:tcPr>
            <w:tcW w:w="80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3</w:t>
            </w:r>
          </w:p>
        </w:tc>
        <w:tc>
          <w:tcPr>
            <w:tcW w:w="975"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0,22</w:t>
            </w:r>
          </w:p>
        </w:tc>
        <w:tc>
          <w:tcPr>
            <w:tcW w:w="80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27</w:t>
            </w:r>
          </w:p>
        </w:tc>
        <w:tc>
          <w:tcPr>
            <w:tcW w:w="975"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0,92</w:t>
            </w:r>
          </w:p>
        </w:tc>
        <w:tc>
          <w:tcPr>
            <w:tcW w:w="97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52</w:t>
            </w:r>
          </w:p>
        </w:tc>
        <w:tc>
          <w:tcPr>
            <w:tcW w:w="975" w:type="dxa"/>
            <w:tcBorders>
              <w:top w:val="nil"/>
              <w:left w:val="nil"/>
              <w:bottom w:val="nil"/>
              <w:right w:val="single" w:sz="8" w:space="0" w:color="auto"/>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0,94</w:t>
            </w:r>
          </w:p>
        </w:tc>
      </w:tr>
      <w:tr w:rsidR="003966C8" w:rsidRPr="003966C8" w:rsidTr="003966C8">
        <w:trPr>
          <w:trHeight w:val="300"/>
        </w:trPr>
        <w:tc>
          <w:tcPr>
            <w:tcW w:w="960" w:type="dxa"/>
            <w:vMerge/>
            <w:tcBorders>
              <w:top w:val="nil"/>
              <w:left w:val="single" w:sz="4" w:space="0" w:color="auto"/>
              <w:bottom w:val="single" w:sz="4" w:space="0" w:color="auto"/>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nil"/>
              <w:right w:val="single" w:sz="8" w:space="0" w:color="auto"/>
            </w:tcBorders>
            <w:shd w:val="clear" w:color="000000" w:fill="DCE6F1"/>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30-64</w:t>
            </w:r>
          </w:p>
        </w:tc>
        <w:tc>
          <w:tcPr>
            <w:tcW w:w="808"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1.885</w:t>
            </w:r>
          </w:p>
        </w:tc>
        <w:tc>
          <w:tcPr>
            <w:tcW w:w="976"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45,07</w:t>
            </w:r>
          </w:p>
        </w:tc>
        <w:tc>
          <w:tcPr>
            <w:tcW w:w="80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2.430</w:t>
            </w:r>
          </w:p>
        </w:tc>
        <w:tc>
          <w:tcPr>
            <w:tcW w:w="975"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49,79</w:t>
            </w:r>
          </w:p>
        </w:tc>
        <w:tc>
          <w:tcPr>
            <w:tcW w:w="80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5.657</w:t>
            </w:r>
          </w:p>
        </w:tc>
        <w:tc>
          <w:tcPr>
            <w:tcW w:w="975"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54,48</w:t>
            </w:r>
          </w:p>
        </w:tc>
        <w:tc>
          <w:tcPr>
            <w:tcW w:w="97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9.972</w:t>
            </w:r>
          </w:p>
        </w:tc>
        <w:tc>
          <w:tcPr>
            <w:tcW w:w="975" w:type="dxa"/>
            <w:tcBorders>
              <w:top w:val="nil"/>
              <w:left w:val="nil"/>
              <w:bottom w:val="nil"/>
              <w:right w:val="single" w:sz="8" w:space="0" w:color="auto"/>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51,28</w:t>
            </w:r>
          </w:p>
        </w:tc>
      </w:tr>
      <w:tr w:rsidR="003966C8" w:rsidRPr="003966C8" w:rsidTr="003966C8">
        <w:trPr>
          <w:trHeight w:val="300"/>
        </w:trPr>
        <w:tc>
          <w:tcPr>
            <w:tcW w:w="960" w:type="dxa"/>
            <w:vMerge/>
            <w:tcBorders>
              <w:top w:val="nil"/>
              <w:left w:val="single" w:sz="4" w:space="0" w:color="auto"/>
              <w:bottom w:val="single" w:sz="4" w:space="0" w:color="auto"/>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nil"/>
              <w:right w:val="single" w:sz="8" w:space="0" w:color="auto"/>
            </w:tcBorders>
            <w:shd w:val="clear" w:color="000000" w:fill="DCE6F1"/>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65-74</w:t>
            </w:r>
          </w:p>
        </w:tc>
        <w:tc>
          <w:tcPr>
            <w:tcW w:w="808"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1.872</w:t>
            </w:r>
          </w:p>
        </w:tc>
        <w:tc>
          <w:tcPr>
            <w:tcW w:w="976"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211,08</w:t>
            </w:r>
          </w:p>
        </w:tc>
        <w:tc>
          <w:tcPr>
            <w:tcW w:w="80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2.525</w:t>
            </w:r>
          </w:p>
        </w:tc>
        <w:tc>
          <w:tcPr>
            <w:tcW w:w="975"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236,56</w:t>
            </w:r>
          </w:p>
        </w:tc>
        <w:tc>
          <w:tcPr>
            <w:tcW w:w="80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5.688</w:t>
            </w:r>
          </w:p>
        </w:tc>
        <w:tc>
          <w:tcPr>
            <w:tcW w:w="975"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267,70</w:t>
            </w:r>
          </w:p>
        </w:tc>
        <w:tc>
          <w:tcPr>
            <w:tcW w:w="977" w:type="dxa"/>
            <w:tcBorders>
              <w:top w:val="nil"/>
              <w:left w:val="nil"/>
              <w:bottom w:val="nil"/>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10.085</w:t>
            </w:r>
          </w:p>
        </w:tc>
        <w:tc>
          <w:tcPr>
            <w:tcW w:w="975" w:type="dxa"/>
            <w:tcBorders>
              <w:top w:val="nil"/>
              <w:left w:val="nil"/>
              <w:bottom w:val="nil"/>
              <w:right w:val="single" w:sz="8" w:space="0" w:color="auto"/>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247,24</w:t>
            </w:r>
          </w:p>
        </w:tc>
      </w:tr>
      <w:tr w:rsidR="003966C8" w:rsidRPr="003966C8" w:rsidTr="003966C8">
        <w:trPr>
          <w:trHeight w:val="315"/>
        </w:trPr>
        <w:tc>
          <w:tcPr>
            <w:tcW w:w="960" w:type="dxa"/>
            <w:vMerge/>
            <w:tcBorders>
              <w:top w:val="nil"/>
              <w:left w:val="single" w:sz="4" w:space="0" w:color="auto"/>
              <w:bottom w:val="single" w:sz="4" w:space="0" w:color="auto"/>
              <w:right w:val="single" w:sz="4" w:space="0" w:color="auto"/>
            </w:tcBorders>
            <w:vAlign w:val="center"/>
            <w:hideMark/>
          </w:tcPr>
          <w:p w:rsidR="003966C8" w:rsidRPr="003966C8" w:rsidRDefault="003966C8" w:rsidP="003966C8">
            <w:pPr>
              <w:spacing w:after="0" w:line="240" w:lineRule="auto"/>
              <w:rPr>
                <w:rFonts w:ascii="Calibri" w:eastAsia="Times New Roman" w:hAnsi="Calibri" w:cs="Times New Roman"/>
                <w:lang w:eastAsia="it-IT"/>
              </w:rPr>
            </w:pPr>
          </w:p>
        </w:tc>
        <w:tc>
          <w:tcPr>
            <w:tcW w:w="1220" w:type="dxa"/>
            <w:tcBorders>
              <w:top w:val="nil"/>
              <w:left w:val="single" w:sz="4" w:space="0" w:color="auto"/>
              <w:bottom w:val="single" w:sz="8" w:space="0" w:color="auto"/>
              <w:right w:val="single" w:sz="8" w:space="0" w:color="auto"/>
            </w:tcBorders>
            <w:shd w:val="clear" w:color="000000" w:fill="DCE6F1"/>
            <w:noWrap/>
            <w:vAlign w:val="bottom"/>
            <w:hideMark/>
          </w:tcPr>
          <w:p w:rsidR="003966C8" w:rsidRPr="003966C8" w:rsidRDefault="003966C8" w:rsidP="003966C8">
            <w:pPr>
              <w:spacing w:after="0" w:line="240" w:lineRule="auto"/>
              <w:rPr>
                <w:rFonts w:ascii="Calibri" w:eastAsia="Times New Roman" w:hAnsi="Calibri" w:cs="Times New Roman"/>
                <w:b/>
                <w:bCs/>
                <w:lang w:eastAsia="it-IT"/>
              </w:rPr>
            </w:pPr>
            <w:r w:rsidRPr="003966C8">
              <w:rPr>
                <w:rFonts w:ascii="Calibri" w:eastAsia="Times New Roman" w:hAnsi="Calibri" w:cs="Times New Roman"/>
                <w:b/>
                <w:bCs/>
                <w:lang w:eastAsia="it-IT"/>
              </w:rPr>
              <w:t>75+</w:t>
            </w:r>
          </w:p>
        </w:tc>
        <w:tc>
          <w:tcPr>
            <w:tcW w:w="808" w:type="dxa"/>
            <w:tcBorders>
              <w:top w:val="nil"/>
              <w:left w:val="nil"/>
              <w:bottom w:val="single" w:sz="8" w:space="0" w:color="auto"/>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1.614</w:t>
            </w:r>
          </w:p>
        </w:tc>
        <w:tc>
          <w:tcPr>
            <w:tcW w:w="976" w:type="dxa"/>
            <w:tcBorders>
              <w:top w:val="nil"/>
              <w:left w:val="nil"/>
              <w:bottom w:val="single" w:sz="8" w:space="0" w:color="auto"/>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247,30</w:t>
            </w:r>
          </w:p>
        </w:tc>
        <w:tc>
          <w:tcPr>
            <w:tcW w:w="807" w:type="dxa"/>
            <w:tcBorders>
              <w:top w:val="nil"/>
              <w:left w:val="nil"/>
              <w:bottom w:val="single" w:sz="8" w:space="0" w:color="auto"/>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2.502</w:t>
            </w:r>
          </w:p>
        </w:tc>
        <w:tc>
          <w:tcPr>
            <w:tcW w:w="975" w:type="dxa"/>
            <w:tcBorders>
              <w:top w:val="nil"/>
              <w:left w:val="nil"/>
              <w:bottom w:val="single" w:sz="8" w:space="0" w:color="auto"/>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259,62</w:t>
            </w:r>
          </w:p>
        </w:tc>
        <w:tc>
          <w:tcPr>
            <w:tcW w:w="807" w:type="dxa"/>
            <w:tcBorders>
              <w:top w:val="nil"/>
              <w:left w:val="nil"/>
              <w:bottom w:val="single" w:sz="8" w:space="0" w:color="auto"/>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5.751</w:t>
            </w:r>
          </w:p>
        </w:tc>
        <w:tc>
          <w:tcPr>
            <w:tcW w:w="975" w:type="dxa"/>
            <w:tcBorders>
              <w:top w:val="nil"/>
              <w:left w:val="nil"/>
              <w:bottom w:val="single" w:sz="8" w:space="0" w:color="auto"/>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305,70</w:t>
            </w:r>
          </w:p>
        </w:tc>
        <w:tc>
          <w:tcPr>
            <w:tcW w:w="977" w:type="dxa"/>
            <w:tcBorders>
              <w:top w:val="nil"/>
              <w:left w:val="nil"/>
              <w:bottom w:val="single" w:sz="8" w:space="0" w:color="auto"/>
              <w:right w:val="nil"/>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9.867</w:t>
            </w:r>
          </w:p>
        </w:tc>
        <w:tc>
          <w:tcPr>
            <w:tcW w:w="975" w:type="dxa"/>
            <w:tcBorders>
              <w:top w:val="nil"/>
              <w:left w:val="nil"/>
              <w:bottom w:val="single" w:sz="8" w:space="0" w:color="auto"/>
              <w:right w:val="single" w:sz="8" w:space="0" w:color="auto"/>
            </w:tcBorders>
            <w:shd w:val="clear" w:color="000000" w:fill="DCE6F1"/>
            <w:noWrap/>
            <w:vAlign w:val="bottom"/>
            <w:hideMark/>
          </w:tcPr>
          <w:p w:rsidR="003966C8" w:rsidRPr="003966C8" w:rsidRDefault="003966C8" w:rsidP="003966C8">
            <w:pPr>
              <w:spacing w:after="0" w:line="240" w:lineRule="auto"/>
              <w:jc w:val="right"/>
              <w:rPr>
                <w:rFonts w:ascii="Calibri" w:eastAsia="Times New Roman" w:hAnsi="Calibri" w:cs="Times New Roman"/>
                <w:lang w:eastAsia="it-IT"/>
              </w:rPr>
            </w:pPr>
            <w:r w:rsidRPr="003966C8">
              <w:rPr>
                <w:rFonts w:ascii="Calibri" w:eastAsia="Times New Roman" w:hAnsi="Calibri" w:cs="Times New Roman"/>
                <w:lang w:eastAsia="it-IT"/>
              </w:rPr>
              <w:t>282,11</w:t>
            </w:r>
          </w:p>
        </w:tc>
      </w:tr>
    </w:tbl>
    <w:p w:rsidR="003966C8" w:rsidRDefault="003966C8" w:rsidP="00B62140">
      <w:pPr>
        <w:pStyle w:val="Nessunaspaziatura"/>
        <w:jc w:val="both"/>
        <w:rPr>
          <w:rFonts w:ascii="Arial" w:hAnsi="Arial" w:cs="Arial"/>
          <w:b/>
        </w:rPr>
      </w:pPr>
    </w:p>
    <w:p w:rsidR="00F75B6D" w:rsidRDefault="00F75B6D" w:rsidP="00B62140">
      <w:pPr>
        <w:pStyle w:val="Nessunaspaziatura"/>
        <w:jc w:val="both"/>
        <w:rPr>
          <w:rFonts w:ascii="Arial" w:hAnsi="Arial" w:cs="Arial"/>
          <w:b/>
        </w:rPr>
      </w:pPr>
    </w:p>
    <w:p w:rsidR="003966C8" w:rsidRDefault="003966C8" w:rsidP="00B62140">
      <w:pPr>
        <w:pStyle w:val="Nessunaspaziatura"/>
        <w:jc w:val="both"/>
        <w:rPr>
          <w:rFonts w:ascii="Arial" w:hAnsi="Arial" w:cs="Arial"/>
          <w:b/>
        </w:rPr>
      </w:pPr>
      <w:r>
        <w:rPr>
          <w:noProof/>
          <w:lang w:eastAsia="it-IT"/>
        </w:rPr>
        <w:drawing>
          <wp:inline distT="0" distB="0" distL="0" distR="0" wp14:anchorId="66CA117F" wp14:editId="710E24B4">
            <wp:extent cx="6038850" cy="2838450"/>
            <wp:effectExtent l="0" t="0" r="19050" b="19050"/>
            <wp:docPr id="74" name="Grafico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6177DA" w:rsidRDefault="006177DA" w:rsidP="00B62140">
      <w:pPr>
        <w:pStyle w:val="Nessunaspaziatura"/>
        <w:jc w:val="both"/>
        <w:rPr>
          <w:rFonts w:ascii="Arial" w:hAnsi="Arial" w:cs="Arial"/>
          <w:b/>
        </w:rPr>
      </w:pPr>
    </w:p>
    <w:p w:rsidR="00F75B6D" w:rsidRDefault="00F75B6D" w:rsidP="00B62140">
      <w:pPr>
        <w:pStyle w:val="Nessunaspaziatura"/>
        <w:jc w:val="both"/>
        <w:rPr>
          <w:rFonts w:ascii="Arial" w:hAnsi="Arial" w:cs="Arial"/>
          <w:b/>
        </w:rPr>
      </w:pPr>
    </w:p>
    <w:p w:rsidR="00F75B6D" w:rsidRDefault="00F75B6D" w:rsidP="00B62140">
      <w:pPr>
        <w:pStyle w:val="Nessunaspaziatura"/>
        <w:jc w:val="both"/>
        <w:rPr>
          <w:rFonts w:ascii="Arial" w:hAnsi="Arial" w:cs="Arial"/>
          <w:b/>
        </w:rPr>
      </w:pPr>
    </w:p>
    <w:tbl>
      <w:tblPr>
        <w:tblW w:w="9480" w:type="dxa"/>
        <w:tblInd w:w="55" w:type="dxa"/>
        <w:tblCellMar>
          <w:left w:w="70" w:type="dxa"/>
          <w:right w:w="70" w:type="dxa"/>
        </w:tblCellMar>
        <w:tblLook w:val="04A0" w:firstRow="1" w:lastRow="0" w:firstColumn="1" w:lastColumn="0" w:noHBand="0" w:noVBand="1"/>
      </w:tblPr>
      <w:tblGrid>
        <w:gridCol w:w="866"/>
        <w:gridCol w:w="1314"/>
        <w:gridCol w:w="808"/>
        <w:gridCol w:w="976"/>
        <w:gridCol w:w="807"/>
        <w:gridCol w:w="975"/>
        <w:gridCol w:w="807"/>
        <w:gridCol w:w="975"/>
        <w:gridCol w:w="977"/>
        <w:gridCol w:w="975"/>
      </w:tblGrid>
      <w:tr w:rsidR="00E7192E" w:rsidRPr="00DA0C9B" w:rsidTr="00E7192E">
        <w:trPr>
          <w:trHeight w:val="300"/>
        </w:trPr>
        <w:tc>
          <w:tcPr>
            <w:tcW w:w="9480" w:type="dxa"/>
            <w:gridSpan w:val="10"/>
            <w:tcBorders>
              <w:top w:val="single" w:sz="4" w:space="0" w:color="auto"/>
              <w:left w:val="single" w:sz="4" w:space="0" w:color="auto"/>
              <w:bottom w:val="single" w:sz="4" w:space="0" w:color="000000"/>
              <w:right w:val="single" w:sz="8" w:space="0" w:color="000000"/>
            </w:tcBorders>
            <w:vAlign w:val="center"/>
          </w:tcPr>
          <w:p w:rsidR="00E7192E" w:rsidRPr="00DA0C9B" w:rsidRDefault="00E7192E" w:rsidP="00DA0C9B">
            <w:pPr>
              <w:spacing w:after="0" w:line="240" w:lineRule="auto"/>
              <w:jc w:val="center"/>
              <w:rPr>
                <w:rFonts w:ascii="Calibri" w:eastAsia="Times New Roman" w:hAnsi="Calibri" w:cs="Times New Roman"/>
                <w:b/>
                <w:bCs/>
                <w:lang w:eastAsia="it-IT"/>
              </w:rPr>
            </w:pPr>
            <w:r>
              <w:rPr>
                <w:rFonts w:ascii="Calibri" w:eastAsia="Times New Roman" w:hAnsi="Calibri" w:cs="Times New Roman"/>
                <w:b/>
                <w:bCs/>
                <w:lang w:eastAsia="it-IT"/>
              </w:rPr>
              <w:lastRenderedPageBreak/>
              <w:t>DIABETE</w:t>
            </w:r>
          </w:p>
        </w:tc>
      </w:tr>
      <w:tr w:rsidR="00DA0C9B" w:rsidRPr="00DA0C9B" w:rsidTr="00DA0C9B">
        <w:trPr>
          <w:trHeight w:val="300"/>
        </w:trPr>
        <w:tc>
          <w:tcPr>
            <w:tcW w:w="866" w:type="dxa"/>
            <w:vMerge w:val="restart"/>
            <w:tcBorders>
              <w:top w:val="single" w:sz="4" w:space="0" w:color="auto"/>
              <w:left w:val="single" w:sz="4" w:space="0" w:color="auto"/>
              <w:bottom w:val="single" w:sz="4" w:space="0" w:color="000000"/>
              <w:right w:val="single" w:sz="4" w:space="0" w:color="auto"/>
            </w:tcBorders>
            <w:vAlign w:val="center"/>
            <w:hideMark/>
          </w:tcPr>
          <w:p w:rsidR="00DA0C9B" w:rsidRPr="00DA0C9B" w:rsidRDefault="00DA0C9B" w:rsidP="00DA0C9B">
            <w:pPr>
              <w:spacing w:after="0" w:line="240" w:lineRule="auto"/>
              <w:rPr>
                <w:rFonts w:ascii="Calibri" w:eastAsia="Times New Roman" w:hAnsi="Calibri" w:cs="Times New Roman"/>
                <w:b/>
                <w:bCs/>
                <w:lang w:eastAsia="it-IT"/>
              </w:rPr>
            </w:pPr>
            <w:r>
              <w:rPr>
                <w:rFonts w:ascii="Calibri" w:eastAsia="Times New Roman" w:hAnsi="Calibri" w:cs="Times New Roman"/>
                <w:b/>
                <w:bCs/>
                <w:lang w:eastAsia="it-IT"/>
              </w:rPr>
              <w:t>Sesso</w:t>
            </w:r>
          </w:p>
        </w:tc>
        <w:tc>
          <w:tcPr>
            <w:tcW w:w="1314" w:type="dxa"/>
            <w:vMerge w:val="restart"/>
            <w:tcBorders>
              <w:top w:val="single" w:sz="4" w:space="0" w:color="auto"/>
              <w:left w:val="single" w:sz="4" w:space="0" w:color="auto"/>
              <w:bottom w:val="single" w:sz="4" w:space="0" w:color="000000"/>
              <w:right w:val="single" w:sz="4" w:space="0" w:color="auto"/>
            </w:tcBorders>
            <w:vAlign w:val="center"/>
            <w:hideMark/>
          </w:tcPr>
          <w:p w:rsidR="00DA0C9B" w:rsidRPr="00DA0C9B" w:rsidRDefault="00DA0C9B" w:rsidP="00DA0C9B">
            <w:pPr>
              <w:spacing w:after="0" w:line="240" w:lineRule="auto"/>
              <w:rPr>
                <w:rFonts w:ascii="Calibri" w:eastAsia="Times New Roman" w:hAnsi="Calibri" w:cs="Times New Roman"/>
                <w:b/>
                <w:bCs/>
                <w:lang w:eastAsia="it-IT"/>
              </w:rPr>
            </w:pPr>
            <w:r>
              <w:rPr>
                <w:rFonts w:ascii="Calibri" w:eastAsia="Times New Roman" w:hAnsi="Calibri" w:cs="Times New Roman"/>
                <w:b/>
                <w:bCs/>
                <w:lang w:eastAsia="it-IT"/>
              </w:rPr>
              <w:t>Classi di età</w:t>
            </w:r>
          </w:p>
        </w:tc>
        <w:tc>
          <w:tcPr>
            <w:tcW w:w="1784" w:type="dxa"/>
            <w:gridSpan w:val="2"/>
            <w:tcBorders>
              <w:top w:val="nil"/>
              <w:left w:val="nil"/>
              <w:bottom w:val="nil"/>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CREMA</w:t>
            </w:r>
          </w:p>
        </w:tc>
        <w:tc>
          <w:tcPr>
            <w:tcW w:w="1782" w:type="dxa"/>
            <w:gridSpan w:val="2"/>
            <w:tcBorders>
              <w:top w:val="nil"/>
              <w:left w:val="nil"/>
              <w:bottom w:val="nil"/>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CREMONA</w:t>
            </w:r>
          </w:p>
        </w:tc>
        <w:tc>
          <w:tcPr>
            <w:tcW w:w="1782" w:type="dxa"/>
            <w:gridSpan w:val="2"/>
            <w:tcBorders>
              <w:top w:val="nil"/>
              <w:left w:val="nil"/>
              <w:bottom w:val="nil"/>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MANTOVA</w:t>
            </w:r>
          </w:p>
        </w:tc>
        <w:tc>
          <w:tcPr>
            <w:tcW w:w="1952" w:type="dxa"/>
            <w:gridSpan w:val="2"/>
            <w:tcBorders>
              <w:top w:val="nil"/>
              <w:left w:val="nil"/>
              <w:bottom w:val="nil"/>
              <w:right w:val="single" w:sz="8" w:space="0" w:color="000000"/>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ATS</w:t>
            </w:r>
          </w:p>
        </w:tc>
      </w:tr>
      <w:tr w:rsidR="00DA0C9B" w:rsidRPr="00DA0C9B" w:rsidTr="00DA0C9B">
        <w:trPr>
          <w:trHeight w:val="315"/>
        </w:trPr>
        <w:tc>
          <w:tcPr>
            <w:tcW w:w="866" w:type="dxa"/>
            <w:vMerge/>
            <w:tcBorders>
              <w:top w:val="single" w:sz="4" w:space="0" w:color="auto"/>
              <w:left w:val="single" w:sz="4" w:space="0" w:color="auto"/>
              <w:bottom w:val="single" w:sz="4" w:space="0" w:color="000000"/>
              <w:right w:val="single" w:sz="4" w:space="0" w:color="auto"/>
            </w:tcBorders>
            <w:vAlign w:val="center"/>
            <w:hideMark/>
          </w:tcPr>
          <w:p w:rsidR="00DA0C9B" w:rsidRPr="00DA0C9B" w:rsidRDefault="00DA0C9B" w:rsidP="00DA0C9B">
            <w:pPr>
              <w:spacing w:after="0" w:line="240" w:lineRule="auto"/>
              <w:rPr>
                <w:rFonts w:ascii="Calibri" w:eastAsia="Times New Roman" w:hAnsi="Calibri" w:cs="Times New Roman"/>
                <w:b/>
                <w:bCs/>
                <w:lang w:eastAsia="it-IT"/>
              </w:rPr>
            </w:pPr>
          </w:p>
        </w:tc>
        <w:tc>
          <w:tcPr>
            <w:tcW w:w="1314" w:type="dxa"/>
            <w:vMerge/>
            <w:tcBorders>
              <w:top w:val="single" w:sz="4" w:space="0" w:color="auto"/>
              <w:left w:val="single" w:sz="4" w:space="0" w:color="auto"/>
              <w:bottom w:val="single" w:sz="4" w:space="0" w:color="000000"/>
              <w:right w:val="single" w:sz="4" w:space="0" w:color="auto"/>
            </w:tcBorders>
            <w:vAlign w:val="center"/>
            <w:hideMark/>
          </w:tcPr>
          <w:p w:rsidR="00DA0C9B" w:rsidRPr="00DA0C9B" w:rsidRDefault="00DA0C9B" w:rsidP="00DA0C9B">
            <w:pPr>
              <w:spacing w:after="0" w:line="240" w:lineRule="auto"/>
              <w:rPr>
                <w:rFonts w:ascii="Calibri" w:eastAsia="Times New Roman" w:hAnsi="Calibri" w:cs="Times New Roman"/>
                <w:b/>
                <w:bCs/>
                <w:lang w:eastAsia="it-IT"/>
              </w:rPr>
            </w:pPr>
          </w:p>
        </w:tc>
        <w:tc>
          <w:tcPr>
            <w:tcW w:w="808" w:type="dxa"/>
            <w:tcBorders>
              <w:top w:val="nil"/>
              <w:left w:val="nil"/>
              <w:bottom w:val="single" w:sz="8" w:space="0" w:color="auto"/>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N</w:t>
            </w:r>
          </w:p>
        </w:tc>
        <w:tc>
          <w:tcPr>
            <w:tcW w:w="976" w:type="dxa"/>
            <w:tcBorders>
              <w:top w:val="nil"/>
              <w:left w:val="nil"/>
              <w:bottom w:val="single" w:sz="8" w:space="0" w:color="auto"/>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TASSO</w:t>
            </w:r>
          </w:p>
        </w:tc>
        <w:tc>
          <w:tcPr>
            <w:tcW w:w="807" w:type="dxa"/>
            <w:tcBorders>
              <w:top w:val="nil"/>
              <w:left w:val="nil"/>
              <w:bottom w:val="single" w:sz="8" w:space="0" w:color="auto"/>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N</w:t>
            </w:r>
          </w:p>
        </w:tc>
        <w:tc>
          <w:tcPr>
            <w:tcW w:w="975" w:type="dxa"/>
            <w:tcBorders>
              <w:top w:val="nil"/>
              <w:left w:val="nil"/>
              <w:bottom w:val="single" w:sz="8" w:space="0" w:color="auto"/>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TASSO</w:t>
            </w:r>
          </w:p>
        </w:tc>
        <w:tc>
          <w:tcPr>
            <w:tcW w:w="807" w:type="dxa"/>
            <w:tcBorders>
              <w:top w:val="nil"/>
              <w:left w:val="nil"/>
              <w:bottom w:val="single" w:sz="8" w:space="0" w:color="auto"/>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N</w:t>
            </w:r>
          </w:p>
        </w:tc>
        <w:tc>
          <w:tcPr>
            <w:tcW w:w="975" w:type="dxa"/>
            <w:tcBorders>
              <w:top w:val="nil"/>
              <w:left w:val="nil"/>
              <w:bottom w:val="single" w:sz="8" w:space="0" w:color="auto"/>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TASSO</w:t>
            </w:r>
          </w:p>
        </w:tc>
        <w:tc>
          <w:tcPr>
            <w:tcW w:w="977" w:type="dxa"/>
            <w:tcBorders>
              <w:top w:val="nil"/>
              <w:left w:val="nil"/>
              <w:bottom w:val="single" w:sz="8" w:space="0" w:color="auto"/>
              <w:right w:val="nil"/>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N</w:t>
            </w:r>
          </w:p>
        </w:tc>
        <w:tc>
          <w:tcPr>
            <w:tcW w:w="975" w:type="dxa"/>
            <w:tcBorders>
              <w:top w:val="nil"/>
              <w:left w:val="nil"/>
              <w:bottom w:val="single" w:sz="8" w:space="0" w:color="auto"/>
              <w:right w:val="single" w:sz="8" w:space="0" w:color="auto"/>
            </w:tcBorders>
            <w:shd w:val="clear" w:color="000000" w:fill="E4DFEC"/>
            <w:noWrap/>
            <w:vAlign w:val="bottom"/>
            <w:hideMark/>
          </w:tcPr>
          <w:p w:rsidR="00DA0C9B" w:rsidRPr="00DA0C9B" w:rsidRDefault="00DA0C9B" w:rsidP="00DA0C9B">
            <w:pPr>
              <w:spacing w:after="0" w:line="240" w:lineRule="auto"/>
              <w:jc w:val="center"/>
              <w:rPr>
                <w:rFonts w:ascii="Calibri" w:eastAsia="Times New Roman" w:hAnsi="Calibri" w:cs="Times New Roman"/>
                <w:b/>
                <w:bCs/>
                <w:lang w:eastAsia="it-IT"/>
              </w:rPr>
            </w:pPr>
            <w:r w:rsidRPr="00DA0C9B">
              <w:rPr>
                <w:rFonts w:ascii="Calibri" w:eastAsia="Times New Roman" w:hAnsi="Calibri" w:cs="Times New Roman"/>
                <w:b/>
                <w:bCs/>
                <w:lang w:eastAsia="it-IT"/>
              </w:rPr>
              <w:t>TASSO</w:t>
            </w:r>
          </w:p>
        </w:tc>
      </w:tr>
      <w:tr w:rsidR="00DA0C9B" w:rsidRPr="00DA0C9B" w:rsidTr="00DA0C9B">
        <w:trPr>
          <w:trHeight w:val="300"/>
        </w:trPr>
        <w:tc>
          <w:tcPr>
            <w:tcW w:w="866" w:type="dxa"/>
            <w:vMerge w:val="restart"/>
            <w:tcBorders>
              <w:top w:val="nil"/>
              <w:left w:val="single" w:sz="4" w:space="0" w:color="auto"/>
              <w:bottom w:val="nil"/>
              <w:right w:val="single" w:sz="8" w:space="0" w:color="auto"/>
            </w:tcBorders>
            <w:shd w:val="clear" w:color="000000" w:fill="F2DCDB"/>
            <w:noWrap/>
            <w:vAlign w:val="bottom"/>
            <w:hideMark/>
          </w:tcPr>
          <w:p w:rsidR="00DA0C9B" w:rsidRPr="00DA0C9B" w:rsidRDefault="00DA0C9B" w:rsidP="00DA0C9B">
            <w:pPr>
              <w:spacing w:after="0" w:line="240" w:lineRule="auto"/>
              <w:rPr>
                <w:rFonts w:ascii="Calibri" w:eastAsia="Times New Roman" w:hAnsi="Calibri" w:cs="Times New Roman"/>
                <w:lang w:eastAsia="it-IT"/>
              </w:rPr>
            </w:pPr>
            <w:r w:rsidRPr="00DA0C9B">
              <w:rPr>
                <w:rFonts w:ascii="Calibri" w:eastAsia="Times New Roman" w:hAnsi="Calibri" w:cs="Times New Roman"/>
                <w:lang w:eastAsia="it-IT"/>
              </w:rPr>
              <w:t>F</w:t>
            </w:r>
          </w:p>
        </w:tc>
        <w:tc>
          <w:tcPr>
            <w:tcW w:w="1314" w:type="dxa"/>
            <w:tcBorders>
              <w:top w:val="nil"/>
              <w:left w:val="nil"/>
              <w:bottom w:val="nil"/>
              <w:right w:val="single" w:sz="8" w:space="0" w:color="auto"/>
            </w:tcBorders>
            <w:shd w:val="clear" w:color="000000" w:fill="F2DCDB"/>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00-14</w:t>
            </w:r>
          </w:p>
        </w:tc>
        <w:tc>
          <w:tcPr>
            <w:tcW w:w="808"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11</w:t>
            </w:r>
          </w:p>
        </w:tc>
        <w:tc>
          <w:tcPr>
            <w:tcW w:w="976"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1,02</w:t>
            </w:r>
          </w:p>
        </w:tc>
        <w:tc>
          <w:tcPr>
            <w:tcW w:w="80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18</w:t>
            </w:r>
          </w:p>
        </w:tc>
        <w:tc>
          <w:tcPr>
            <w:tcW w:w="975"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1,50</w:t>
            </w:r>
          </w:p>
        </w:tc>
        <w:tc>
          <w:tcPr>
            <w:tcW w:w="80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35</w:t>
            </w:r>
          </w:p>
        </w:tc>
        <w:tc>
          <w:tcPr>
            <w:tcW w:w="975"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1,28</w:t>
            </w:r>
          </w:p>
        </w:tc>
        <w:tc>
          <w:tcPr>
            <w:tcW w:w="97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64</w:t>
            </w:r>
          </w:p>
        </w:tc>
        <w:tc>
          <w:tcPr>
            <w:tcW w:w="975" w:type="dxa"/>
            <w:tcBorders>
              <w:top w:val="nil"/>
              <w:left w:val="nil"/>
              <w:bottom w:val="nil"/>
              <w:right w:val="single" w:sz="8" w:space="0" w:color="auto"/>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1,28</w:t>
            </w:r>
          </w:p>
        </w:tc>
      </w:tr>
      <w:tr w:rsidR="00DA0C9B" w:rsidRPr="00DA0C9B" w:rsidTr="00DA0C9B">
        <w:trPr>
          <w:trHeight w:val="300"/>
        </w:trPr>
        <w:tc>
          <w:tcPr>
            <w:tcW w:w="866" w:type="dxa"/>
            <w:vMerge/>
            <w:tcBorders>
              <w:top w:val="nil"/>
              <w:left w:val="single" w:sz="4" w:space="0" w:color="auto"/>
              <w:bottom w:val="nil"/>
              <w:right w:val="single" w:sz="8" w:space="0" w:color="auto"/>
            </w:tcBorders>
            <w:vAlign w:val="center"/>
            <w:hideMark/>
          </w:tcPr>
          <w:p w:rsidR="00DA0C9B" w:rsidRPr="00DA0C9B" w:rsidRDefault="00DA0C9B" w:rsidP="00DA0C9B">
            <w:pPr>
              <w:spacing w:after="0" w:line="240" w:lineRule="auto"/>
              <w:rPr>
                <w:rFonts w:ascii="Calibri" w:eastAsia="Times New Roman" w:hAnsi="Calibri" w:cs="Times New Roman"/>
                <w:lang w:eastAsia="it-IT"/>
              </w:rPr>
            </w:pPr>
          </w:p>
        </w:tc>
        <w:tc>
          <w:tcPr>
            <w:tcW w:w="1314" w:type="dxa"/>
            <w:tcBorders>
              <w:top w:val="nil"/>
              <w:left w:val="nil"/>
              <w:bottom w:val="nil"/>
              <w:right w:val="single" w:sz="8" w:space="0" w:color="auto"/>
            </w:tcBorders>
            <w:shd w:val="clear" w:color="000000" w:fill="F2DCDB"/>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15-29</w:t>
            </w:r>
          </w:p>
        </w:tc>
        <w:tc>
          <w:tcPr>
            <w:tcW w:w="808"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56</w:t>
            </w:r>
          </w:p>
        </w:tc>
        <w:tc>
          <w:tcPr>
            <w:tcW w:w="976"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4,87</w:t>
            </w:r>
          </w:p>
        </w:tc>
        <w:tc>
          <w:tcPr>
            <w:tcW w:w="80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83</w:t>
            </w:r>
          </w:p>
        </w:tc>
        <w:tc>
          <w:tcPr>
            <w:tcW w:w="975"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6,29</w:t>
            </w:r>
          </w:p>
        </w:tc>
        <w:tc>
          <w:tcPr>
            <w:tcW w:w="80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213</w:t>
            </w:r>
          </w:p>
        </w:tc>
        <w:tc>
          <w:tcPr>
            <w:tcW w:w="975"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7,74</w:t>
            </w:r>
          </w:p>
        </w:tc>
        <w:tc>
          <w:tcPr>
            <w:tcW w:w="97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352</w:t>
            </w:r>
          </w:p>
        </w:tc>
        <w:tc>
          <w:tcPr>
            <w:tcW w:w="975" w:type="dxa"/>
            <w:tcBorders>
              <w:top w:val="nil"/>
              <w:left w:val="nil"/>
              <w:bottom w:val="nil"/>
              <w:right w:val="single" w:sz="8" w:space="0" w:color="auto"/>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6,74</w:t>
            </w:r>
          </w:p>
        </w:tc>
      </w:tr>
      <w:tr w:rsidR="00DA0C9B" w:rsidRPr="00DA0C9B" w:rsidTr="00DA0C9B">
        <w:trPr>
          <w:trHeight w:val="300"/>
        </w:trPr>
        <w:tc>
          <w:tcPr>
            <w:tcW w:w="866" w:type="dxa"/>
            <w:vMerge/>
            <w:tcBorders>
              <w:top w:val="nil"/>
              <w:left w:val="single" w:sz="4" w:space="0" w:color="auto"/>
              <w:bottom w:val="nil"/>
              <w:right w:val="single" w:sz="8" w:space="0" w:color="auto"/>
            </w:tcBorders>
            <w:vAlign w:val="center"/>
            <w:hideMark/>
          </w:tcPr>
          <w:p w:rsidR="00DA0C9B" w:rsidRPr="00DA0C9B" w:rsidRDefault="00DA0C9B" w:rsidP="00DA0C9B">
            <w:pPr>
              <w:spacing w:after="0" w:line="240" w:lineRule="auto"/>
              <w:rPr>
                <w:rFonts w:ascii="Calibri" w:eastAsia="Times New Roman" w:hAnsi="Calibri" w:cs="Times New Roman"/>
                <w:lang w:eastAsia="it-IT"/>
              </w:rPr>
            </w:pPr>
          </w:p>
        </w:tc>
        <w:tc>
          <w:tcPr>
            <w:tcW w:w="1314" w:type="dxa"/>
            <w:tcBorders>
              <w:top w:val="nil"/>
              <w:left w:val="nil"/>
              <w:bottom w:val="nil"/>
              <w:right w:val="single" w:sz="8" w:space="0" w:color="auto"/>
            </w:tcBorders>
            <w:shd w:val="clear" w:color="000000" w:fill="F2DCDB"/>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30-64</w:t>
            </w:r>
          </w:p>
        </w:tc>
        <w:tc>
          <w:tcPr>
            <w:tcW w:w="808"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1.178</w:t>
            </w:r>
          </w:p>
        </w:tc>
        <w:tc>
          <w:tcPr>
            <w:tcW w:w="976"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28,85</w:t>
            </w:r>
          </w:p>
        </w:tc>
        <w:tc>
          <w:tcPr>
            <w:tcW w:w="80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1.519</w:t>
            </w:r>
          </w:p>
        </w:tc>
        <w:tc>
          <w:tcPr>
            <w:tcW w:w="975"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32,11</w:t>
            </w:r>
          </w:p>
        </w:tc>
        <w:tc>
          <w:tcPr>
            <w:tcW w:w="80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3.503</w:t>
            </w:r>
          </w:p>
        </w:tc>
        <w:tc>
          <w:tcPr>
            <w:tcW w:w="975"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34,39</w:t>
            </w:r>
          </w:p>
        </w:tc>
        <w:tc>
          <w:tcPr>
            <w:tcW w:w="97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6.200</w:t>
            </w:r>
          </w:p>
        </w:tc>
        <w:tc>
          <w:tcPr>
            <w:tcW w:w="975" w:type="dxa"/>
            <w:tcBorders>
              <w:top w:val="nil"/>
              <w:left w:val="nil"/>
              <w:bottom w:val="nil"/>
              <w:right w:val="single" w:sz="8" w:space="0" w:color="auto"/>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32,63</w:t>
            </w:r>
          </w:p>
        </w:tc>
      </w:tr>
      <w:tr w:rsidR="00DA0C9B" w:rsidRPr="00DA0C9B" w:rsidTr="00DA0C9B">
        <w:trPr>
          <w:trHeight w:val="300"/>
        </w:trPr>
        <w:tc>
          <w:tcPr>
            <w:tcW w:w="866" w:type="dxa"/>
            <w:vMerge/>
            <w:tcBorders>
              <w:top w:val="nil"/>
              <w:left w:val="single" w:sz="4" w:space="0" w:color="auto"/>
              <w:bottom w:val="nil"/>
              <w:right w:val="single" w:sz="8" w:space="0" w:color="auto"/>
            </w:tcBorders>
            <w:vAlign w:val="center"/>
            <w:hideMark/>
          </w:tcPr>
          <w:p w:rsidR="00DA0C9B" w:rsidRPr="00DA0C9B" w:rsidRDefault="00DA0C9B" w:rsidP="00DA0C9B">
            <w:pPr>
              <w:spacing w:after="0" w:line="240" w:lineRule="auto"/>
              <w:rPr>
                <w:rFonts w:ascii="Calibri" w:eastAsia="Times New Roman" w:hAnsi="Calibri" w:cs="Times New Roman"/>
                <w:lang w:eastAsia="it-IT"/>
              </w:rPr>
            </w:pPr>
          </w:p>
        </w:tc>
        <w:tc>
          <w:tcPr>
            <w:tcW w:w="1314" w:type="dxa"/>
            <w:tcBorders>
              <w:top w:val="nil"/>
              <w:left w:val="nil"/>
              <w:bottom w:val="nil"/>
              <w:right w:val="single" w:sz="8" w:space="0" w:color="auto"/>
            </w:tcBorders>
            <w:shd w:val="clear" w:color="000000" w:fill="F2DCDB"/>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65-74</w:t>
            </w:r>
          </w:p>
        </w:tc>
        <w:tc>
          <w:tcPr>
            <w:tcW w:w="808"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1.097</w:t>
            </w:r>
          </w:p>
        </w:tc>
        <w:tc>
          <w:tcPr>
            <w:tcW w:w="976"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121,34</w:t>
            </w:r>
          </w:p>
        </w:tc>
        <w:tc>
          <w:tcPr>
            <w:tcW w:w="80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1.362</w:t>
            </w:r>
          </w:p>
        </w:tc>
        <w:tc>
          <w:tcPr>
            <w:tcW w:w="975"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112,67</w:t>
            </w:r>
          </w:p>
        </w:tc>
        <w:tc>
          <w:tcPr>
            <w:tcW w:w="80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3.098</w:t>
            </w:r>
          </w:p>
        </w:tc>
        <w:tc>
          <w:tcPr>
            <w:tcW w:w="975"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129,94</w:t>
            </w:r>
          </w:p>
        </w:tc>
        <w:tc>
          <w:tcPr>
            <w:tcW w:w="977" w:type="dxa"/>
            <w:tcBorders>
              <w:top w:val="nil"/>
              <w:left w:val="nil"/>
              <w:bottom w:val="nil"/>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5.557</w:t>
            </w:r>
          </w:p>
        </w:tc>
        <w:tc>
          <w:tcPr>
            <w:tcW w:w="975" w:type="dxa"/>
            <w:tcBorders>
              <w:top w:val="nil"/>
              <w:left w:val="nil"/>
              <w:bottom w:val="nil"/>
              <w:right w:val="single" w:sz="8" w:space="0" w:color="auto"/>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123,57</w:t>
            </w:r>
          </w:p>
        </w:tc>
      </w:tr>
      <w:tr w:rsidR="00DA0C9B" w:rsidRPr="00DA0C9B" w:rsidTr="00DA0C9B">
        <w:trPr>
          <w:trHeight w:val="315"/>
        </w:trPr>
        <w:tc>
          <w:tcPr>
            <w:tcW w:w="866" w:type="dxa"/>
            <w:vMerge/>
            <w:tcBorders>
              <w:top w:val="nil"/>
              <w:left w:val="single" w:sz="4" w:space="0" w:color="auto"/>
              <w:bottom w:val="nil"/>
              <w:right w:val="single" w:sz="8" w:space="0" w:color="auto"/>
            </w:tcBorders>
            <w:vAlign w:val="center"/>
            <w:hideMark/>
          </w:tcPr>
          <w:p w:rsidR="00DA0C9B" w:rsidRPr="00DA0C9B" w:rsidRDefault="00DA0C9B" w:rsidP="00DA0C9B">
            <w:pPr>
              <w:spacing w:after="0" w:line="240" w:lineRule="auto"/>
              <w:rPr>
                <w:rFonts w:ascii="Calibri" w:eastAsia="Times New Roman" w:hAnsi="Calibri" w:cs="Times New Roman"/>
                <w:lang w:eastAsia="it-IT"/>
              </w:rPr>
            </w:pPr>
          </w:p>
        </w:tc>
        <w:tc>
          <w:tcPr>
            <w:tcW w:w="1314" w:type="dxa"/>
            <w:tcBorders>
              <w:top w:val="nil"/>
              <w:left w:val="nil"/>
              <w:bottom w:val="single" w:sz="8" w:space="0" w:color="auto"/>
              <w:right w:val="single" w:sz="8" w:space="0" w:color="auto"/>
            </w:tcBorders>
            <w:shd w:val="clear" w:color="000000" w:fill="F2DCDB"/>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75+</w:t>
            </w:r>
          </w:p>
        </w:tc>
        <w:tc>
          <w:tcPr>
            <w:tcW w:w="808" w:type="dxa"/>
            <w:tcBorders>
              <w:top w:val="nil"/>
              <w:left w:val="nil"/>
              <w:bottom w:val="single" w:sz="8" w:space="0" w:color="auto"/>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1.700</w:t>
            </w:r>
          </w:p>
        </w:tc>
        <w:tc>
          <w:tcPr>
            <w:tcW w:w="976" w:type="dxa"/>
            <w:tcBorders>
              <w:top w:val="nil"/>
              <w:left w:val="nil"/>
              <w:bottom w:val="single" w:sz="8" w:space="0" w:color="auto"/>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164,03</w:t>
            </w:r>
          </w:p>
        </w:tc>
        <w:tc>
          <w:tcPr>
            <w:tcW w:w="807" w:type="dxa"/>
            <w:tcBorders>
              <w:top w:val="nil"/>
              <w:left w:val="nil"/>
              <w:bottom w:val="single" w:sz="8" w:space="0" w:color="auto"/>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2.764</w:t>
            </w:r>
          </w:p>
        </w:tc>
        <w:tc>
          <w:tcPr>
            <w:tcW w:w="975" w:type="dxa"/>
            <w:tcBorders>
              <w:top w:val="nil"/>
              <w:left w:val="nil"/>
              <w:bottom w:val="single" w:sz="8" w:space="0" w:color="auto"/>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164,46</w:t>
            </w:r>
          </w:p>
        </w:tc>
        <w:tc>
          <w:tcPr>
            <w:tcW w:w="807" w:type="dxa"/>
            <w:tcBorders>
              <w:top w:val="nil"/>
              <w:left w:val="nil"/>
              <w:bottom w:val="single" w:sz="8" w:space="0" w:color="auto"/>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5.754</w:t>
            </w:r>
          </w:p>
        </w:tc>
        <w:tc>
          <w:tcPr>
            <w:tcW w:w="975" w:type="dxa"/>
            <w:tcBorders>
              <w:top w:val="nil"/>
              <w:left w:val="nil"/>
              <w:bottom w:val="single" w:sz="8" w:space="0" w:color="auto"/>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186,11</w:t>
            </w:r>
          </w:p>
        </w:tc>
        <w:tc>
          <w:tcPr>
            <w:tcW w:w="977" w:type="dxa"/>
            <w:tcBorders>
              <w:top w:val="nil"/>
              <w:left w:val="nil"/>
              <w:bottom w:val="single" w:sz="8" w:space="0" w:color="auto"/>
              <w:right w:val="nil"/>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10.218</w:t>
            </w:r>
          </w:p>
        </w:tc>
        <w:tc>
          <w:tcPr>
            <w:tcW w:w="975" w:type="dxa"/>
            <w:tcBorders>
              <w:top w:val="nil"/>
              <w:left w:val="nil"/>
              <w:bottom w:val="single" w:sz="8" w:space="0" w:color="auto"/>
              <w:right w:val="single" w:sz="8" w:space="0" w:color="auto"/>
            </w:tcBorders>
            <w:shd w:val="clear" w:color="000000" w:fill="F2DCDB"/>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175,91</w:t>
            </w:r>
          </w:p>
        </w:tc>
      </w:tr>
      <w:tr w:rsidR="00DA0C9B" w:rsidRPr="00DA0C9B" w:rsidTr="00DA0C9B">
        <w:trPr>
          <w:trHeight w:val="300"/>
        </w:trPr>
        <w:tc>
          <w:tcPr>
            <w:tcW w:w="866" w:type="dxa"/>
            <w:vMerge w:val="restart"/>
            <w:tcBorders>
              <w:top w:val="nil"/>
              <w:left w:val="single" w:sz="4" w:space="0" w:color="auto"/>
              <w:bottom w:val="single" w:sz="4" w:space="0" w:color="000000"/>
              <w:right w:val="single" w:sz="8" w:space="0" w:color="auto"/>
            </w:tcBorders>
            <w:shd w:val="clear" w:color="000000" w:fill="DCE6F1"/>
            <w:noWrap/>
            <w:vAlign w:val="bottom"/>
            <w:hideMark/>
          </w:tcPr>
          <w:p w:rsidR="00DA0C9B" w:rsidRPr="00DA0C9B" w:rsidRDefault="00DA0C9B" w:rsidP="00DA0C9B">
            <w:pPr>
              <w:spacing w:after="0" w:line="240" w:lineRule="auto"/>
              <w:rPr>
                <w:rFonts w:ascii="Calibri" w:eastAsia="Times New Roman" w:hAnsi="Calibri" w:cs="Times New Roman"/>
                <w:lang w:eastAsia="it-IT"/>
              </w:rPr>
            </w:pPr>
            <w:r w:rsidRPr="00DA0C9B">
              <w:rPr>
                <w:rFonts w:ascii="Calibri" w:eastAsia="Times New Roman" w:hAnsi="Calibri" w:cs="Times New Roman"/>
                <w:lang w:eastAsia="it-IT"/>
              </w:rPr>
              <w:t>M</w:t>
            </w:r>
          </w:p>
        </w:tc>
        <w:tc>
          <w:tcPr>
            <w:tcW w:w="1314" w:type="dxa"/>
            <w:tcBorders>
              <w:top w:val="nil"/>
              <w:left w:val="nil"/>
              <w:bottom w:val="nil"/>
              <w:right w:val="single" w:sz="8" w:space="0" w:color="auto"/>
            </w:tcBorders>
            <w:shd w:val="clear" w:color="000000" w:fill="DCE6F1"/>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00-14</w:t>
            </w:r>
          </w:p>
        </w:tc>
        <w:tc>
          <w:tcPr>
            <w:tcW w:w="808"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14</w:t>
            </w:r>
          </w:p>
        </w:tc>
        <w:tc>
          <w:tcPr>
            <w:tcW w:w="976"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1,19</w:t>
            </w:r>
          </w:p>
        </w:tc>
        <w:tc>
          <w:tcPr>
            <w:tcW w:w="80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20</w:t>
            </w:r>
          </w:p>
        </w:tc>
        <w:tc>
          <w:tcPr>
            <w:tcW w:w="975"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1,52</w:t>
            </w:r>
          </w:p>
        </w:tc>
        <w:tc>
          <w:tcPr>
            <w:tcW w:w="80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48</w:t>
            </w:r>
          </w:p>
        </w:tc>
        <w:tc>
          <w:tcPr>
            <w:tcW w:w="975"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1,64</w:t>
            </w:r>
          </w:p>
        </w:tc>
        <w:tc>
          <w:tcPr>
            <w:tcW w:w="97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82</w:t>
            </w:r>
          </w:p>
        </w:tc>
        <w:tc>
          <w:tcPr>
            <w:tcW w:w="975" w:type="dxa"/>
            <w:tcBorders>
              <w:top w:val="nil"/>
              <w:left w:val="nil"/>
              <w:bottom w:val="nil"/>
              <w:right w:val="single" w:sz="8" w:space="0" w:color="auto"/>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1,51</w:t>
            </w:r>
          </w:p>
        </w:tc>
      </w:tr>
      <w:tr w:rsidR="00DA0C9B" w:rsidRPr="00DA0C9B" w:rsidTr="00DA0C9B">
        <w:trPr>
          <w:trHeight w:val="300"/>
        </w:trPr>
        <w:tc>
          <w:tcPr>
            <w:tcW w:w="866" w:type="dxa"/>
            <w:vMerge/>
            <w:tcBorders>
              <w:top w:val="nil"/>
              <w:left w:val="single" w:sz="4" w:space="0" w:color="auto"/>
              <w:bottom w:val="single" w:sz="4" w:space="0" w:color="000000"/>
              <w:right w:val="single" w:sz="8" w:space="0" w:color="auto"/>
            </w:tcBorders>
            <w:vAlign w:val="center"/>
            <w:hideMark/>
          </w:tcPr>
          <w:p w:rsidR="00DA0C9B" w:rsidRPr="00DA0C9B" w:rsidRDefault="00DA0C9B" w:rsidP="00DA0C9B">
            <w:pPr>
              <w:spacing w:after="0" w:line="240" w:lineRule="auto"/>
              <w:rPr>
                <w:rFonts w:ascii="Calibri" w:eastAsia="Times New Roman" w:hAnsi="Calibri" w:cs="Times New Roman"/>
                <w:lang w:eastAsia="it-IT"/>
              </w:rPr>
            </w:pPr>
          </w:p>
        </w:tc>
        <w:tc>
          <w:tcPr>
            <w:tcW w:w="1314" w:type="dxa"/>
            <w:tcBorders>
              <w:top w:val="nil"/>
              <w:left w:val="nil"/>
              <w:bottom w:val="nil"/>
              <w:right w:val="single" w:sz="8" w:space="0" w:color="auto"/>
            </w:tcBorders>
            <w:shd w:val="clear" w:color="000000" w:fill="DCE6F1"/>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15-29</w:t>
            </w:r>
          </w:p>
        </w:tc>
        <w:tc>
          <w:tcPr>
            <w:tcW w:w="808"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44</w:t>
            </w:r>
          </w:p>
        </w:tc>
        <w:tc>
          <w:tcPr>
            <w:tcW w:w="976"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3,69</w:t>
            </w:r>
          </w:p>
        </w:tc>
        <w:tc>
          <w:tcPr>
            <w:tcW w:w="80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41</w:t>
            </w:r>
          </w:p>
        </w:tc>
        <w:tc>
          <w:tcPr>
            <w:tcW w:w="975"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2,94</w:t>
            </w:r>
          </w:p>
        </w:tc>
        <w:tc>
          <w:tcPr>
            <w:tcW w:w="80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104</w:t>
            </w:r>
          </w:p>
        </w:tc>
        <w:tc>
          <w:tcPr>
            <w:tcW w:w="975"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3,56</w:t>
            </w:r>
          </w:p>
        </w:tc>
        <w:tc>
          <w:tcPr>
            <w:tcW w:w="97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189</w:t>
            </w:r>
          </w:p>
        </w:tc>
        <w:tc>
          <w:tcPr>
            <w:tcW w:w="975" w:type="dxa"/>
            <w:tcBorders>
              <w:top w:val="nil"/>
              <w:left w:val="nil"/>
              <w:bottom w:val="nil"/>
              <w:right w:val="single" w:sz="8" w:space="0" w:color="auto"/>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3,43</w:t>
            </w:r>
          </w:p>
        </w:tc>
      </w:tr>
      <w:tr w:rsidR="00DA0C9B" w:rsidRPr="00DA0C9B" w:rsidTr="00DA0C9B">
        <w:trPr>
          <w:trHeight w:val="300"/>
        </w:trPr>
        <w:tc>
          <w:tcPr>
            <w:tcW w:w="866" w:type="dxa"/>
            <w:vMerge/>
            <w:tcBorders>
              <w:top w:val="nil"/>
              <w:left w:val="single" w:sz="4" w:space="0" w:color="auto"/>
              <w:bottom w:val="single" w:sz="4" w:space="0" w:color="000000"/>
              <w:right w:val="single" w:sz="8" w:space="0" w:color="auto"/>
            </w:tcBorders>
            <w:vAlign w:val="center"/>
            <w:hideMark/>
          </w:tcPr>
          <w:p w:rsidR="00DA0C9B" w:rsidRPr="00DA0C9B" w:rsidRDefault="00DA0C9B" w:rsidP="00DA0C9B">
            <w:pPr>
              <w:spacing w:after="0" w:line="240" w:lineRule="auto"/>
              <w:rPr>
                <w:rFonts w:ascii="Calibri" w:eastAsia="Times New Roman" w:hAnsi="Calibri" w:cs="Times New Roman"/>
                <w:lang w:eastAsia="it-IT"/>
              </w:rPr>
            </w:pPr>
          </w:p>
        </w:tc>
        <w:tc>
          <w:tcPr>
            <w:tcW w:w="1314" w:type="dxa"/>
            <w:tcBorders>
              <w:top w:val="nil"/>
              <w:left w:val="nil"/>
              <w:bottom w:val="nil"/>
              <w:right w:val="single" w:sz="8" w:space="0" w:color="auto"/>
            </w:tcBorders>
            <w:shd w:val="clear" w:color="000000" w:fill="DCE6F1"/>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30-64</w:t>
            </w:r>
          </w:p>
        </w:tc>
        <w:tc>
          <w:tcPr>
            <w:tcW w:w="808"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1.744</w:t>
            </w:r>
          </w:p>
        </w:tc>
        <w:tc>
          <w:tcPr>
            <w:tcW w:w="976"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41,70</w:t>
            </w:r>
          </w:p>
        </w:tc>
        <w:tc>
          <w:tcPr>
            <w:tcW w:w="80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2.116</w:t>
            </w:r>
          </w:p>
        </w:tc>
        <w:tc>
          <w:tcPr>
            <w:tcW w:w="975"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43,36</w:t>
            </w:r>
          </w:p>
        </w:tc>
        <w:tc>
          <w:tcPr>
            <w:tcW w:w="80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4.885</w:t>
            </w:r>
          </w:p>
        </w:tc>
        <w:tc>
          <w:tcPr>
            <w:tcW w:w="975"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47,04</w:t>
            </w:r>
          </w:p>
        </w:tc>
        <w:tc>
          <w:tcPr>
            <w:tcW w:w="97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8.745</w:t>
            </w:r>
          </w:p>
        </w:tc>
        <w:tc>
          <w:tcPr>
            <w:tcW w:w="975" w:type="dxa"/>
            <w:tcBorders>
              <w:top w:val="nil"/>
              <w:left w:val="nil"/>
              <w:bottom w:val="nil"/>
              <w:right w:val="single" w:sz="8" w:space="0" w:color="auto"/>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44,97</w:t>
            </w:r>
          </w:p>
        </w:tc>
      </w:tr>
      <w:tr w:rsidR="00DA0C9B" w:rsidRPr="00DA0C9B" w:rsidTr="00DA0C9B">
        <w:trPr>
          <w:trHeight w:val="300"/>
        </w:trPr>
        <w:tc>
          <w:tcPr>
            <w:tcW w:w="866" w:type="dxa"/>
            <w:vMerge/>
            <w:tcBorders>
              <w:top w:val="nil"/>
              <w:left w:val="single" w:sz="4" w:space="0" w:color="auto"/>
              <w:bottom w:val="single" w:sz="4" w:space="0" w:color="000000"/>
              <w:right w:val="single" w:sz="8" w:space="0" w:color="auto"/>
            </w:tcBorders>
            <w:vAlign w:val="center"/>
            <w:hideMark/>
          </w:tcPr>
          <w:p w:rsidR="00DA0C9B" w:rsidRPr="00DA0C9B" w:rsidRDefault="00DA0C9B" w:rsidP="00DA0C9B">
            <w:pPr>
              <w:spacing w:after="0" w:line="240" w:lineRule="auto"/>
              <w:rPr>
                <w:rFonts w:ascii="Calibri" w:eastAsia="Times New Roman" w:hAnsi="Calibri" w:cs="Times New Roman"/>
                <w:lang w:eastAsia="it-IT"/>
              </w:rPr>
            </w:pPr>
          </w:p>
        </w:tc>
        <w:tc>
          <w:tcPr>
            <w:tcW w:w="1314" w:type="dxa"/>
            <w:tcBorders>
              <w:top w:val="nil"/>
              <w:left w:val="nil"/>
              <w:bottom w:val="nil"/>
              <w:right w:val="single" w:sz="8" w:space="0" w:color="auto"/>
            </w:tcBorders>
            <w:shd w:val="clear" w:color="000000" w:fill="DCE6F1"/>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65-74</w:t>
            </w:r>
          </w:p>
        </w:tc>
        <w:tc>
          <w:tcPr>
            <w:tcW w:w="808"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1.654</w:t>
            </w:r>
          </w:p>
        </w:tc>
        <w:tc>
          <w:tcPr>
            <w:tcW w:w="976"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186,50</w:t>
            </w:r>
          </w:p>
        </w:tc>
        <w:tc>
          <w:tcPr>
            <w:tcW w:w="80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2.019</w:t>
            </w:r>
          </w:p>
        </w:tc>
        <w:tc>
          <w:tcPr>
            <w:tcW w:w="975"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189,15</w:t>
            </w:r>
          </w:p>
        </w:tc>
        <w:tc>
          <w:tcPr>
            <w:tcW w:w="80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4.238</w:t>
            </w:r>
          </w:p>
        </w:tc>
        <w:tc>
          <w:tcPr>
            <w:tcW w:w="975"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199,45</w:t>
            </w:r>
          </w:p>
        </w:tc>
        <w:tc>
          <w:tcPr>
            <w:tcW w:w="977" w:type="dxa"/>
            <w:tcBorders>
              <w:top w:val="nil"/>
              <w:left w:val="nil"/>
              <w:bottom w:val="nil"/>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7.911</w:t>
            </w:r>
          </w:p>
        </w:tc>
        <w:tc>
          <w:tcPr>
            <w:tcW w:w="975" w:type="dxa"/>
            <w:tcBorders>
              <w:top w:val="nil"/>
              <w:left w:val="nil"/>
              <w:bottom w:val="nil"/>
              <w:right w:val="single" w:sz="8" w:space="0" w:color="auto"/>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193,94</w:t>
            </w:r>
          </w:p>
        </w:tc>
      </w:tr>
      <w:tr w:rsidR="00DA0C9B" w:rsidRPr="00DA0C9B" w:rsidTr="00DA0C9B">
        <w:trPr>
          <w:trHeight w:val="315"/>
        </w:trPr>
        <w:tc>
          <w:tcPr>
            <w:tcW w:w="866" w:type="dxa"/>
            <w:vMerge/>
            <w:tcBorders>
              <w:top w:val="nil"/>
              <w:left w:val="single" w:sz="4" w:space="0" w:color="auto"/>
              <w:bottom w:val="single" w:sz="4" w:space="0" w:color="000000"/>
              <w:right w:val="single" w:sz="8" w:space="0" w:color="auto"/>
            </w:tcBorders>
            <w:vAlign w:val="center"/>
            <w:hideMark/>
          </w:tcPr>
          <w:p w:rsidR="00DA0C9B" w:rsidRPr="00DA0C9B" w:rsidRDefault="00DA0C9B" w:rsidP="00DA0C9B">
            <w:pPr>
              <w:spacing w:after="0" w:line="240" w:lineRule="auto"/>
              <w:rPr>
                <w:rFonts w:ascii="Calibri" w:eastAsia="Times New Roman" w:hAnsi="Calibri" w:cs="Times New Roman"/>
                <w:lang w:eastAsia="it-IT"/>
              </w:rPr>
            </w:pPr>
          </w:p>
        </w:tc>
        <w:tc>
          <w:tcPr>
            <w:tcW w:w="1314" w:type="dxa"/>
            <w:tcBorders>
              <w:top w:val="nil"/>
              <w:left w:val="nil"/>
              <w:bottom w:val="single" w:sz="8" w:space="0" w:color="auto"/>
              <w:right w:val="single" w:sz="8" w:space="0" w:color="auto"/>
            </w:tcBorders>
            <w:shd w:val="clear" w:color="000000" w:fill="DCE6F1"/>
            <w:noWrap/>
            <w:vAlign w:val="bottom"/>
            <w:hideMark/>
          </w:tcPr>
          <w:p w:rsidR="00DA0C9B" w:rsidRPr="00DA0C9B" w:rsidRDefault="00DA0C9B" w:rsidP="00DA0C9B">
            <w:pPr>
              <w:spacing w:after="0" w:line="240" w:lineRule="auto"/>
              <w:rPr>
                <w:rFonts w:ascii="Calibri" w:eastAsia="Times New Roman" w:hAnsi="Calibri" w:cs="Times New Roman"/>
                <w:b/>
                <w:bCs/>
                <w:lang w:eastAsia="it-IT"/>
              </w:rPr>
            </w:pPr>
            <w:r w:rsidRPr="00DA0C9B">
              <w:rPr>
                <w:rFonts w:ascii="Calibri" w:eastAsia="Times New Roman" w:hAnsi="Calibri" w:cs="Times New Roman"/>
                <w:b/>
                <w:bCs/>
                <w:lang w:eastAsia="it-IT"/>
              </w:rPr>
              <w:t>75+</w:t>
            </w:r>
          </w:p>
        </w:tc>
        <w:tc>
          <w:tcPr>
            <w:tcW w:w="808" w:type="dxa"/>
            <w:tcBorders>
              <w:top w:val="nil"/>
              <w:left w:val="nil"/>
              <w:bottom w:val="single" w:sz="8" w:space="0" w:color="auto"/>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1.552</w:t>
            </w:r>
          </w:p>
        </w:tc>
        <w:tc>
          <w:tcPr>
            <w:tcW w:w="976" w:type="dxa"/>
            <w:tcBorders>
              <w:top w:val="nil"/>
              <w:left w:val="nil"/>
              <w:bottom w:val="single" w:sz="8" w:space="0" w:color="auto"/>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237,80</w:t>
            </w:r>
          </w:p>
        </w:tc>
        <w:tc>
          <w:tcPr>
            <w:tcW w:w="807" w:type="dxa"/>
            <w:tcBorders>
              <w:top w:val="nil"/>
              <w:left w:val="nil"/>
              <w:bottom w:val="single" w:sz="8" w:space="0" w:color="auto"/>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2.181</w:t>
            </w:r>
          </w:p>
        </w:tc>
        <w:tc>
          <w:tcPr>
            <w:tcW w:w="975" w:type="dxa"/>
            <w:tcBorders>
              <w:top w:val="nil"/>
              <w:left w:val="nil"/>
              <w:bottom w:val="single" w:sz="8" w:space="0" w:color="auto"/>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226,32</w:t>
            </w:r>
          </w:p>
        </w:tc>
        <w:tc>
          <w:tcPr>
            <w:tcW w:w="807" w:type="dxa"/>
            <w:tcBorders>
              <w:top w:val="nil"/>
              <w:left w:val="nil"/>
              <w:bottom w:val="single" w:sz="8" w:space="0" w:color="auto"/>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4.607</w:t>
            </w:r>
          </w:p>
        </w:tc>
        <w:tc>
          <w:tcPr>
            <w:tcW w:w="975" w:type="dxa"/>
            <w:tcBorders>
              <w:top w:val="nil"/>
              <w:left w:val="nil"/>
              <w:bottom w:val="single" w:sz="8" w:space="0" w:color="auto"/>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244,89</w:t>
            </w:r>
          </w:p>
        </w:tc>
        <w:tc>
          <w:tcPr>
            <w:tcW w:w="977" w:type="dxa"/>
            <w:tcBorders>
              <w:top w:val="nil"/>
              <w:left w:val="nil"/>
              <w:bottom w:val="single" w:sz="8" w:space="0" w:color="auto"/>
              <w:right w:val="nil"/>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8.340</w:t>
            </w:r>
          </w:p>
        </w:tc>
        <w:tc>
          <w:tcPr>
            <w:tcW w:w="975" w:type="dxa"/>
            <w:tcBorders>
              <w:top w:val="nil"/>
              <w:left w:val="nil"/>
              <w:bottom w:val="single" w:sz="8" w:space="0" w:color="auto"/>
              <w:right w:val="single" w:sz="8" w:space="0" w:color="auto"/>
            </w:tcBorders>
            <w:shd w:val="clear" w:color="000000" w:fill="DCE6F1"/>
            <w:noWrap/>
            <w:vAlign w:val="bottom"/>
            <w:hideMark/>
          </w:tcPr>
          <w:p w:rsidR="00DA0C9B" w:rsidRPr="00DA0C9B" w:rsidRDefault="00DA0C9B" w:rsidP="00DA0C9B">
            <w:pPr>
              <w:spacing w:after="0" w:line="240" w:lineRule="auto"/>
              <w:jc w:val="right"/>
              <w:rPr>
                <w:rFonts w:ascii="Calibri" w:eastAsia="Times New Roman" w:hAnsi="Calibri" w:cs="Times New Roman"/>
                <w:lang w:eastAsia="it-IT"/>
              </w:rPr>
            </w:pPr>
            <w:r w:rsidRPr="00DA0C9B">
              <w:rPr>
                <w:rFonts w:ascii="Calibri" w:eastAsia="Times New Roman" w:hAnsi="Calibri" w:cs="Times New Roman"/>
                <w:lang w:eastAsia="it-IT"/>
              </w:rPr>
              <w:t>238,45</w:t>
            </w:r>
          </w:p>
        </w:tc>
      </w:tr>
    </w:tbl>
    <w:p w:rsidR="00B62140" w:rsidRDefault="00B62140" w:rsidP="00B62140">
      <w:pPr>
        <w:pStyle w:val="Nessunaspaziatura"/>
        <w:jc w:val="both"/>
        <w:rPr>
          <w:rFonts w:ascii="Arial" w:hAnsi="Arial" w:cs="Arial"/>
          <w:b/>
        </w:rPr>
      </w:pPr>
    </w:p>
    <w:p w:rsidR="00B62140" w:rsidRDefault="00E7192E" w:rsidP="00B62140">
      <w:pPr>
        <w:pStyle w:val="Nessunaspaziatura"/>
        <w:jc w:val="both"/>
        <w:rPr>
          <w:rFonts w:ascii="Arial" w:hAnsi="Arial" w:cs="Arial"/>
          <w:b/>
        </w:rPr>
      </w:pPr>
      <w:r>
        <w:rPr>
          <w:noProof/>
          <w:lang w:eastAsia="it-IT"/>
        </w:rPr>
        <w:drawing>
          <wp:inline distT="0" distB="0" distL="0" distR="0" wp14:anchorId="46A2F8FD" wp14:editId="7536D574">
            <wp:extent cx="5934075" cy="2209800"/>
            <wp:effectExtent l="0" t="0" r="9525" b="19050"/>
            <wp:docPr id="73" name="Grafico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E7192E" w:rsidRDefault="00E7192E" w:rsidP="00B62140">
      <w:pPr>
        <w:pStyle w:val="Nessunaspaziatura"/>
        <w:jc w:val="both"/>
        <w:rPr>
          <w:rFonts w:cs="Arial"/>
          <w:b/>
        </w:rPr>
      </w:pPr>
    </w:p>
    <w:p w:rsidR="00B62140" w:rsidRPr="00B62140" w:rsidRDefault="00D860D1" w:rsidP="00B62140">
      <w:pPr>
        <w:pStyle w:val="Nessunaspaziatura"/>
        <w:jc w:val="both"/>
        <w:rPr>
          <w:rFonts w:cs="Arial"/>
          <w:b/>
        </w:rPr>
      </w:pPr>
      <w:r>
        <w:rPr>
          <w:rFonts w:cs="Arial"/>
          <w:b/>
        </w:rPr>
        <w:t>La Patologia Respiratoria</w:t>
      </w:r>
    </w:p>
    <w:p w:rsidR="00B62140" w:rsidRPr="00B62140" w:rsidRDefault="00B62140" w:rsidP="00B62140">
      <w:pPr>
        <w:pStyle w:val="Nessunaspaziatura"/>
        <w:jc w:val="both"/>
        <w:rPr>
          <w:rFonts w:cs="Arial"/>
        </w:rPr>
      </w:pPr>
      <w:r w:rsidRPr="00B62140">
        <w:rPr>
          <w:rFonts w:cs="Arial"/>
        </w:rPr>
        <w:t xml:space="preserve">In entrambi i generi la </w:t>
      </w:r>
      <w:r w:rsidRPr="00B62140">
        <w:rPr>
          <w:rFonts w:cs="Arial"/>
          <w:i/>
        </w:rPr>
        <w:t>mortalità</w:t>
      </w:r>
      <w:r w:rsidRPr="00B62140">
        <w:rPr>
          <w:rFonts w:cs="Arial"/>
        </w:rPr>
        <w:t xml:space="preserve"> diminuisc</w:t>
      </w:r>
      <w:r w:rsidR="00D10C5D">
        <w:rPr>
          <w:rFonts w:cs="Arial"/>
        </w:rPr>
        <w:t>e</w:t>
      </w:r>
      <w:r w:rsidRPr="00B62140">
        <w:rPr>
          <w:rFonts w:cs="Arial"/>
        </w:rPr>
        <w:t xml:space="preserve"> progressivamente movendo da Crema, in cui si raggiunge anche la significatività statistica, verso Mantova dove si attesta a valori più bassi. </w:t>
      </w:r>
    </w:p>
    <w:p w:rsidR="00B62140" w:rsidRDefault="00B62140" w:rsidP="002F2C5F">
      <w:pPr>
        <w:pStyle w:val="Nessunaspaziatura"/>
        <w:jc w:val="both"/>
        <w:rPr>
          <w:rFonts w:cs="Arial"/>
        </w:rPr>
      </w:pPr>
      <w:r w:rsidRPr="00B62140">
        <w:rPr>
          <w:rFonts w:cs="Arial"/>
        </w:rPr>
        <w:t xml:space="preserve">Se invece si osserva questa patologia dal lato della </w:t>
      </w:r>
      <w:r w:rsidRPr="00B62140">
        <w:rPr>
          <w:rFonts w:cs="Arial"/>
          <w:i/>
        </w:rPr>
        <w:t>prevalenza</w:t>
      </w:r>
      <w:r w:rsidRPr="00B62140">
        <w:rPr>
          <w:rFonts w:cs="Arial"/>
        </w:rPr>
        <w:t>, la situazione si capovolge, in entrambi i generi ed in entrambe le componenti della popolazione, pediatrica e adulta. Alta a Mantova con significatività statistica e bassa a Crema</w:t>
      </w:r>
      <w:r w:rsidR="002F2C5F">
        <w:rPr>
          <w:rFonts w:cs="Arial"/>
        </w:rPr>
        <w:t>. Cremona in posizione mediana.</w:t>
      </w:r>
    </w:p>
    <w:p w:rsidR="0039349C" w:rsidRDefault="0039349C" w:rsidP="002F2C5F">
      <w:pPr>
        <w:pStyle w:val="Nessunaspaziatura"/>
        <w:jc w:val="both"/>
        <w:rPr>
          <w:rFonts w:cs="Arial"/>
        </w:rPr>
      </w:pPr>
      <w:r>
        <w:rPr>
          <w:rFonts w:cs="Arial"/>
        </w:rPr>
        <w:t>Rispetto ai confronti esterni, si osserva una riduzione del trend per i maschi, più stabile quello delle donne che però presenta tassi con valori inferiori.</w:t>
      </w:r>
    </w:p>
    <w:p w:rsidR="00D10C5D" w:rsidRDefault="0039349C" w:rsidP="002F2C5F">
      <w:pPr>
        <w:pStyle w:val="Nessunaspaziatura"/>
        <w:jc w:val="both"/>
        <w:rPr>
          <w:rFonts w:cs="Arial"/>
        </w:rPr>
      </w:pPr>
      <w:r>
        <w:rPr>
          <w:rFonts w:cs="Arial"/>
        </w:rPr>
        <w:t>Rispetto alla distribuzione per sesso e per età, nelle classi di età pediatrica e giovane il genere maschile prevale su quello femminile, viceversa  nella classe di età adulta.</w:t>
      </w:r>
      <w:r w:rsidR="006216BE">
        <w:rPr>
          <w:rFonts w:cs="Arial"/>
        </w:rPr>
        <w:t xml:space="preserve"> Mentre nell’</w:t>
      </w:r>
      <w:r w:rsidR="00B32390">
        <w:rPr>
          <w:rFonts w:cs="Arial"/>
        </w:rPr>
        <w:t>et</w:t>
      </w:r>
      <w:r w:rsidR="00AA5D82">
        <w:rPr>
          <w:rFonts w:cs="Arial"/>
        </w:rPr>
        <w:t xml:space="preserve">à pediatrica </w:t>
      </w:r>
      <w:r w:rsidR="006216BE">
        <w:rPr>
          <w:rFonts w:cs="Arial"/>
        </w:rPr>
        <w:t>prevale Mantova, in quella giovane</w:t>
      </w:r>
      <w:r w:rsidR="00D34AA9">
        <w:rPr>
          <w:rFonts w:cs="Arial"/>
        </w:rPr>
        <w:t xml:space="preserve">-adulta </w:t>
      </w:r>
      <w:r w:rsidR="00AA5D82">
        <w:rPr>
          <w:rFonts w:cs="Arial"/>
        </w:rPr>
        <w:t xml:space="preserve"> </w:t>
      </w:r>
      <w:r w:rsidR="00D34AA9">
        <w:rPr>
          <w:rFonts w:cs="Arial"/>
        </w:rPr>
        <w:t xml:space="preserve">i tassi età-specifici più alti sono di </w:t>
      </w:r>
      <w:r w:rsidR="00AA5D82">
        <w:rPr>
          <w:rFonts w:cs="Arial"/>
        </w:rPr>
        <w:t xml:space="preserve"> </w:t>
      </w:r>
      <w:r w:rsidR="006216BE">
        <w:rPr>
          <w:rFonts w:cs="Arial"/>
        </w:rPr>
        <w:t xml:space="preserve">Crema e </w:t>
      </w:r>
      <w:r w:rsidR="00AA5D82">
        <w:rPr>
          <w:rFonts w:cs="Arial"/>
        </w:rPr>
        <w:t>Cremona</w:t>
      </w:r>
      <w:r w:rsidR="00D34AA9">
        <w:rPr>
          <w:rFonts w:cs="Arial"/>
        </w:rPr>
        <w:t>.</w:t>
      </w:r>
    </w:p>
    <w:p w:rsidR="00D860D1" w:rsidRPr="002F2C5F" w:rsidRDefault="00D860D1" w:rsidP="002F2C5F">
      <w:pPr>
        <w:pStyle w:val="Nessunaspaziatura"/>
        <w:jc w:val="both"/>
        <w:rPr>
          <w:rFonts w:cs="Arial"/>
        </w:rPr>
      </w:pPr>
    </w:p>
    <w:tbl>
      <w:tblPr>
        <w:tblW w:w="9723" w:type="dxa"/>
        <w:tblInd w:w="55" w:type="dxa"/>
        <w:tblCellMar>
          <w:left w:w="70" w:type="dxa"/>
          <w:right w:w="70" w:type="dxa"/>
        </w:tblCellMar>
        <w:tblLook w:val="04A0" w:firstRow="1" w:lastRow="0" w:firstColumn="1" w:lastColumn="0" w:noHBand="0" w:noVBand="1"/>
      </w:tblPr>
      <w:tblGrid>
        <w:gridCol w:w="5061"/>
        <w:gridCol w:w="4662"/>
      </w:tblGrid>
      <w:tr w:rsidR="00B62140" w:rsidRPr="006123B0" w:rsidTr="00FD473B">
        <w:trPr>
          <w:trHeight w:val="375"/>
        </w:trPr>
        <w:tc>
          <w:tcPr>
            <w:tcW w:w="4988" w:type="dxa"/>
            <w:shd w:val="clear" w:color="auto" w:fill="auto"/>
            <w:noWrap/>
            <w:vAlign w:val="bottom"/>
            <w:hideMark/>
          </w:tcPr>
          <w:p w:rsidR="00B62140" w:rsidRPr="006123B0" w:rsidRDefault="00B62140"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lastRenderedPageBreak/>
              <w:t> </w:t>
            </w:r>
            <w:r w:rsidR="00D10C5D">
              <w:rPr>
                <w:noProof/>
                <w:lang w:eastAsia="it-IT"/>
              </w:rPr>
              <w:drawing>
                <wp:inline distT="0" distB="0" distL="0" distR="0" wp14:anchorId="65A55A20" wp14:editId="137F5AC4">
                  <wp:extent cx="3019425" cy="1924050"/>
                  <wp:effectExtent l="0" t="0" r="9525" b="19050"/>
                  <wp:docPr id="68" name="Grafico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c>
          <w:tcPr>
            <w:tcW w:w="4735" w:type="dxa"/>
            <w:shd w:val="clear" w:color="auto" w:fill="auto"/>
            <w:noWrap/>
            <w:vAlign w:val="bottom"/>
            <w:hideMark/>
          </w:tcPr>
          <w:p w:rsidR="00B62140" w:rsidRPr="006123B0" w:rsidRDefault="00B62140" w:rsidP="00E7192E">
            <w:pPr>
              <w:spacing w:after="0" w:line="240" w:lineRule="auto"/>
              <w:rPr>
                <w:rFonts w:ascii="Arial" w:eastAsia="Times New Roman" w:hAnsi="Arial" w:cs="Arial"/>
                <w:color w:val="000000"/>
                <w:lang w:eastAsia="it-IT"/>
              </w:rPr>
            </w:pPr>
            <w:r w:rsidRPr="006123B0">
              <w:rPr>
                <w:rFonts w:ascii="Arial" w:eastAsia="Times New Roman" w:hAnsi="Arial" w:cs="Arial"/>
                <w:color w:val="000000"/>
                <w:lang w:eastAsia="it-IT"/>
              </w:rPr>
              <w:t> </w:t>
            </w:r>
          </w:p>
        </w:tc>
      </w:tr>
      <w:tr w:rsidR="00B62140" w:rsidRPr="006123B0" w:rsidTr="00FD473B">
        <w:trPr>
          <w:trHeight w:val="375"/>
        </w:trPr>
        <w:tc>
          <w:tcPr>
            <w:tcW w:w="4988" w:type="dxa"/>
            <w:shd w:val="clear" w:color="auto" w:fill="auto"/>
            <w:noWrap/>
            <w:vAlign w:val="bottom"/>
            <w:hideMark/>
          </w:tcPr>
          <w:p w:rsidR="00B62140" w:rsidRPr="006123B0" w:rsidRDefault="00E63991" w:rsidP="00E7192E">
            <w:pPr>
              <w:spacing w:after="0" w:line="240" w:lineRule="auto"/>
              <w:rPr>
                <w:rFonts w:ascii="Arial" w:eastAsia="Times New Roman" w:hAnsi="Arial" w:cs="Arial"/>
                <w:color w:val="000000"/>
                <w:lang w:eastAsia="it-IT"/>
              </w:rPr>
            </w:pPr>
            <w:r>
              <w:rPr>
                <w:noProof/>
                <w:lang w:eastAsia="it-IT"/>
              </w:rPr>
              <w:drawing>
                <wp:inline distT="0" distB="0" distL="0" distR="0" wp14:anchorId="17C9BC37" wp14:editId="3146477F">
                  <wp:extent cx="3286125" cy="1933575"/>
                  <wp:effectExtent l="0" t="0" r="9525" b="9525"/>
                  <wp:docPr id="65" name="Grafico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c>
          <w:tcPr>
            <w:tcW w:w="4735" w:type="dxa"/>
            <w:shd w:val="clear" w:color="auto" w:fill="auto"/>
            <w:noWrap/>
            <w:vAlign w:val="bottom"/>
            <w:hideMark/>
          </w:tcPr>
          <w:p w:rsidR="00B62140" w:rsidRPr="006123B0" w:rsidRDefault="00C25505" w:rsidP="00E7192E">
            <w:pPr>
              <w:spacing w:after="0" w:line="240" w:lineRule="auto"/>
              <w:rPr>
                <w:rFonts w:ascii="Arial" w:eastAsia="Times New Roman" w:hAnsi="Arial" w:cs="Arial"/>
                <w:color w:val="000000"/>
                <w:lang w:eastAsia="it-IT"/>
              </w:rPr>
            </w:pPr>
            <w:r>
              <w:rPr>
                <w:noProof/>
                <w:lang w:eastAsia="it-IT"/>
              </w:rPr>
              <w:drawing>
                <wp:inline distT="0" distB="0" distL="0" distR="0" wp14:anchorId="7031B1D8" wp14:editId="3D809C16">
                  <wp:extent cx="3019425" cy="1933575"/>
                  <wp:effectExtent l="0" t="0" r="9525" b="9525"/>
                  <wp:docPr id="69" name="Grafico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rsidR="00B62140" w:rsidRDefault="00B62140" w:rsidP="004D2786">
      <w:pPr>
        <w:pStyle w:val="Nessunaspaziatura"/>
        <w:jc w:val="both"/>
        <w:rPr>
          <w:b/>
        </w:rPr>
      </w:pPr>
    </w:p>
    <w:p w:rsidR="00B62140" w:rsidRDefault="00B62140" w:rsidP="004D2786">
      <w:pPr>
        <w:pStyle w:val="Nessunaspaziatura"/>
        <w:jc w:val="both"/>
        <w:rPr>
          <w:b/>
        </w:rPr>
      </w:pPr>
      <w:r>
        <w:rPr>
          <w:noProof/>
          <w:lang w:eastAsia="it-IT"/>
        </w:rPr>
        <w:drawing>
          <wp:inline distT="0" distB="0" distL="0" distR="0" wp14:anchorId="641BB69D" wp14:editId="16399129">
            <wp:extent cx="3200400" cy="2181225"/>
            <wp:effectExtent l="0" t="0" r="19050" b="9525"/>
            <wp:docPr id="24" name="Gra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Pr>
          <w:noProof/>
          <w:lang w:eastAsia="it-IT"/>
        </w:rPr>
        <w:drawing>
          <wp:inline distT="0" distB="0" distL="0" distR="0" wp14:anchorId="3982897E" wp14:editId="5FE17812">
            <wp:extent cx="2819400" cy="2181225"/>
            <wp:effectExtent l="0" t="0" r="19050" b="9525"/>
            <wp:docPr id="25" name="Gra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A2469C" w:rsidRDefault="00A2469C" w:rsidP="004D2786">
      <w:pPr>
        <w:pStyle w:val="Nessunaspaziatura"/>
        <w:jc w:val="both"/>
        <w:rPr>
          <w:b/>
        </w:rPr>
      </w:pPr>
    </w:p>
    <w:p w:rsidR="00A2469C" w:rsidRDefault="00A2469C" w:rsidP="004D2786">
      <w:pPr>
        <w:pStyle w:val="Nessunaspaziatura"/>
        <w:jc w:val="both"/>
        <w:rPr>
          <w:b/>
        </w:rPr>
      </w:pPr>
      <w:r>
        <w:rPr>
          <w:noProof/>
          <w:lang w:eastAsia="it-IT"/>
        </w:rPr>
        <w:drawing>
          <wp:inline distT="0" distB="0" distL="0" distR="0" wp14:anchorId="67C82773" wp14:editId="049E499D">
            <wp:extent cx="2933700" cy="1914525"/>
            <wp:effectExtent l="0" t="0" r="19050" b="9525"/>
            <wp:docPr id="27" name="Grafico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Pr>
          <w:noProof/>
          <w:lang w:eastAsia="it-IT"/>
        </w:rPr>
        <w:drawing>
          <wp:inline distT="0" distB="0" distL="0" distR="0" wp14:anchorId="477AAF8D" wp14:editId="48AD91CF">
            <wp:extent cx="2933700" cy="1924050"/>
            <wp:effectExtent l="0" t="0" r="19050" b="19050"/>
            <wp:docPr id="28" name="Grafico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2F2C5F" w:rsidRDefault="002F2C5F" w:rsidP="002F2C5F">
      <w:pPr>
        <w:pStyle w:val="Nessunaspaziatura"/>
        <w:jc w:val="both"/>
        <w:rPr>
          <w:rFonts w:cs="Arial"/>
        </w:rPr>
      </w:pPr>
    </w:p>
    <w:p w:rsidR="00F75B6D" w:rsidRDefault="00F75B6D" w:rsidP="002F2C5F">
      <w:pPr>
        <w:pStyle w:val="Nessunaspaziatura"/>
        <w:jc w:val="both"/>
        <w:rPr>
          <w:rFonts w:cs="Arial"/>
        </w:rPr>
      </w:pPr>
    </w:p>
    <w:p w:rsidR="002F2C5F" w:rsidRPr="002F2C5F" w:rsidRDefault="002F2C5F" w:rsidP="002F2C5F">
      <w:pPr>
        <w:pStyle w:val="Nessunaspaziatura"/>
        <w:jc w:val="both"/>
        <w:rPr>
          <w:rFonts w:cs="Arial"/>
        </w:rPr>
      </w:pPr>
      <w:r w:rsidRPr="002F2C5F">
        <w:rPr>
          <w:rFonts w:cs="Arial"/>
        </w:rPr>
        <w:lastRenderedPageBreak/>
        <w:t xml:space="preserve">Le </w:t>
      </w:r>
      <w:r w:rsidR="001A051D">
        <w:rPr>
          <w:rFonts w:cs="Arial"/>
        </w:rPr>
        <w:t>patologie respiratorie</w:t>
      </w:r>
      <w:r w:rsidRPr="002F2C5F">
        <w:rPr>
          <w:rFonts w:cs="Arial"/>
        </w:rPr>
        <w:t xml:space="preserve"> interessano in modo importante le classi di età giovani-adulte e il Distretto di Cremona è particolarmente interessato dalla prevalenza di queste patologie</w:t>
      </w:r>
      <w:r>
        <w:rPr>
          <w:rFonts w:cs="Arial"/>
        </w:rPr>
        <w:t>, soprattutto nel sesso maschile</w:t>
      </w:r>
      <w:r w:rsidR="008F5A01">
        <w:rPr>
          <w:rFonts w:cs="Arial"/>
        </w:rPr>
        <w:t>.</w:t>
      </w:r>
    </w:p>
    <w:p w:rsidR="002F2C5F" w:rsidRDefault="002F2C5F" w:rsidP="002F2C5F">
      <w:pPr>
        <w:pStyle w:val="Nessunaspaziatura"/>
        <w:jc w:val="both"/>
        <w:rPr>
          <w:rFonts w:cs="Arial"/>
          <w:b/>
        </w:rPr>
      </w:pPr>
    </w:p>
    <w:p w:rsidR="002F2C5F" w:rsidRDefault="002F2C5F" w:rsidP="002F2C5F">
      <w:pPr>
        <w:pStyle w:val="Nessunaspaziatura"/>
        <w:jc w:val="both"/>
        <w:rPr>
          <w:rFonts w:cs="Arial"/>
          <w:b/>
        </w:rPr>
      </w:pPr>
    </w:p>
    <w:tbl>
      <w:tblPr>
        <w:tblW w:w="9677" w:type="dxa"/>
        <w:tblInd w:w="55" w:type="dxa"/>
        <w:tblCellMar>
          <w:left w:w="70" w:type="dxa"/>
          <w:right w:w="70" w:type="dxa"/>
        </w:tblCellMar>
        <w:tblLook w:val="04A0" w:firstRow="1" w:lastRow="0" w:firstColumn="1" w:lastColumn="0" w:noHBand="0" w:noVBand="1"/>
      </w:tblPr>
      <w:tblGrid>
        <w:gridCol w:w="980"/>
        <w:gridCol w:w="1245"/>
        <w:gridCol w:w="843"/>
        <w:gridCol w:w="1020"/>
        <w:gridCol w:w="843"/>
        <w:gridCol w:w="1020"/>
        <w:gridCol w:w="843"/>
        <w:gridCol w:w="1020"/>
        <w:gridCol w:w="843"/>
        <w:gridCol w:w="1020"/>
      </w:tblGrid>
      <w:tr w:rsidR="002F2C5F" w:rsidRPr="002F2C5F" w:rsidTr="00B40D0E">
        <w:trPr>
          <w:trHeight w:val="303"/>
        </w:trPr>
        <w:tc>
          <w:tcPr>
            <w:tcW w:w="980"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Sesso</w:t>
            </w:r>
          </w:p>
        </w:tc>
        <w:tc>
          <w:tcPr>
            <w:tcW w:w="1245"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rsidR="002F2C5F" w:rsidRPr="002F2C5F" w:rsidRDefault="002F2C5F" w:rsidP="00B40D0E">
            <w:pPr>
              <w:spacing w:after="0" w:line="240" w:lineRule="auto"/>
              <w:rPr>
                <w:rFonts w:ascii="Calibri" w:eastAsia="Times New Roman" w:hAnsi="Calibri" w:cs="Times New Roman"/>
                <w:b/>
                <w:bCs/>
                <w:lang w:eastAsia="it-IT"/>
              </w:rPr>
            </w:pPr>
            <w:r>
              <w:rPr>
                <w:rFonts w:ascii="Calibri" w:eastAsia="Times New Roman" w:hAnsi="Calibri" w:cs="Times New Roman"/>
                <w:b/>
                <w:bCs/>
                <w:lang w:eastAsia="it-IT"/>
              </w:rPr>
              <w:t xml:space="preserve">Classi di </w:t>
            </w:r>
            <w:r w:rsidRPr="002F2C5F">
              <w:rPr>
                <w:rFonts w:ascii="Calibri" w:eastAsia="Times New Roman" w:hAnsi="Calibri" w:cs="Times New Roman"/>
                <w:b/>
                <w:bCs/>
                <w:lang w:eastAsia="it-IT"/>
              </w:rPr>
              <w:t>età</w:t>
            </w:r>
          </w:p>
        </w:tc>
        <w:tc>
          <w:tcPr>
            <w:tcW w:w="7450" w:type="dxa"/>
            <w:gridSpan w:val="8"/>
            <w:tcBorders>
              <w:top w:val="single" w:sz="8" w:space="0" w:color="auto"/>
              <w:left w:val="nil"/>
              <w:bottom w:val="nil"/>
              <w:right w:val="single" w:sz="8" w:space="0" w:color="000000"/>
            </w:tcBorders>
            <w:shd w:val="clear" w:color="000000" w:fill="E4DFEC"/>
            <w:noWrap/>
            <w:vAlign w:val="bottom"/>
            <w:hideMark/>
          </w:tcPr>
          <w:p w:rsidR="002F2C5F" w:rsidRPr="002F2C5F" w:rsidRDefault="0039349C" w:rsidP="00B40D0E">
            <w:pPr>
              <w:spacing w:after="0" w:line="240" w:lineRule="auto"/>
              <w:jc w:val="center"/>
              <w:rPr>
                <w:rFonts w:ascii="Calibri" w:eastAsia="Times New Roman" w:hAnsi="Calibri" w:cs="Times New Roman"/>
                <w:b/>
                <w:bCs/>
                <w:lang w:eastAsia="it-IT"/>
              </w:rPr>
            </w:pPr>
            <w:r>
              <w:rPr>
                <w:rFonts w:ascii="Calibri" w:eastAsia="Times New Roman" w:hAnsi="Calibri" w:cs="Times New Roman"/>
                <w:b/>
                <w:bCs/>
                <w:lang w:eastAsia="it-IT"/>
              </w:rPr>
              <w:t>PATOLOGIE RESPIRATORIE</w:t>
            </w:r>
          </w:p>
        </w:tc>
      </w:tr>
      <w:tr w:rsidR="002F2C5F" w:rsidRPr="002F2C5F" w:rsidTr="00B40D0E">
        <w:trPr>
          <w:trHeight w:val="303"/>
        </w:trPr>
        <w:tc>
          <w:tcPr>
            <w:tcW w:w="980" w:type="dxa"/>
            <w:vMerge/>
            <w:tcBorders>
              <w:top w:val="single" w:sz="4" w:space="0" w:color="auto"/>
              <w:left w:val="single" w:sz="8" w:space="0" w:color="auto"/>
              <w:bottom w:val="single" w:sz="4" w:space="0" w:color="000000"/>
              <w:right w:val="single" w:sz="4" w:space="0" w:color="auto"/>
            </w:tcBorders>
            <w:vAlign w:val="center"/>
            <w:hideMark/>
          </w:tcPr>
          <w:p w:rsidR="002F2C5F" w:rsidRPr="002F2C5F" w:rsidRDefault="002F2C5F" w:rsidP="00B40D0E">
            <w:pPr>
              <w:spacing w:after="0" w:line="240" w:lineRule="auto"/>
              <w:rPr>
                <w:rFonts w:ascii="Calibri" w:eastAsia="Times New Roman" w:hAnsi="Calibri" w:cs="Times New Roman"/>
                <w:b/>
                <w:bCs/>
                <w:lang w:eastAsia="it-IT"/>
              </w:rPr>
            </w:pPr>
          </w:p>
        </w:tc>
        <w:tc>
          <w:tcPr>
            <w:tcW w:w="1245" w:type="dxa"/>
            <w:vMerge/>
            <w:tcBorders>
              <w:top w:val="single" w:sz="4" w:space="0" w:color="auto"/>
              <w:left w:val="single" w:sz="8" w:space="0" w:color="auto"/>
              <w:bottom w:val="single" w:sz="4" w:space="0" w:color="000000"/>
              <w:right w:val="single" w:sz="4" w:space="0" w:color="auto"/>
            </w:tcBorders>
            <w:vAlign w:val="center"/>
            <w:hideMark/>
          </w:tcPr>
          <w:p w:rsidR="002F2C5F" w:rsidRPr="002F2C5F" w:rsidRDefault="002F2C5F" w:rsidP="00B40D0E">
            <w:pPr>
              <w:spacing w:after="0" w:line="240" w:lineRule="auto"/>
              <w:rPr>
                <w:rFonts w:ascii="Calibri" w:eastAsia="Times New Roman" w:hAnsi="Calibri" w:cs="Times New Roman"/>
                <w:b/>
                <w:bCs/>
                <w:lang w:eastAsia="it-IT"/>
              </w:rPr>
            </w:pPr>
          </w:p>
        </w:tc>
        <w:tc>
          <w:tcPr>
            <w:tcW w:w="1863" w:type="dxa"/>
            <w:gridSpan w:val="2"/>
            <w:tcBorders>
              <w:top w:val="nil"/>
              <w:left w:val="nil"/>
              <w:bottom w:val="nil"/>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CREMA</w:t>
            </w:r>
          </w:p>
        </w:tc>
        <w:tc>
          <w:tcPr>
            <w:tcW w:w="1863" w:type="dxa"/>
            <w:gridSpan w:val="2"/>
            <w:tcBorders>
              <w:top w:val="nil"/>
              <w:left w:val="nil"/>
              <w:bottom w:val="nil"/>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CREMONA</w:t>
            </w:r>
          </w:p>
        </w:tc>
        <w:tc>
          <w:tcPr>
            <w:tcW w:w="1863" w:type="dxa"/>
            <w:gridSpan w:val="2"/>
            <w:tcBorders>
              <w:top w:val="nil"/>
              <w:left w:val="nil"/>
              <w:bottom w:val="nil"/>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MANTOVA</w:t>
            </w:r>
          </w:p>
        </w:tc>
        <w:tc>
          <w:tcPr>
            <w:tcW w:w="1863" w:type="dxa"/>
            <w:gridSpan w:val="2"/>
            <w:tcBorders>
              <w:top w:val="nil"/>
              <w:left w:val="nil"/>
              <w:bottom w:val="nil"/>
              <w:right w:val="single" w:sz="8" w:space="0" w:color="000000"/>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ATS</w:t>
            </w:r>
          </w:p>
        </w:tc>
      </w:tr>
      <w:tr w:rsidR="002F2C5F" w:rsidRPr="002F2C5F" w:rsidTr="00B40D0E">
        <w:trPr>
          <w:trHeight w:val="318"/>
        </w:trPr>
        <w:tc>
          <w:tcPr>
            <w:tcW w:w="980" w:type="dxa"/>
            <w:vMerge/>
            <w:tcBorders>
              <w:top w:val="single" w:sz="4" w:space="0" w:color="auto"/>
              <w:left w:val="single" w:sz="8" w:space="0" w:color="auto"/>
              <w:bottom w:val="single" w:sz="4" w:space="0" w:color="000000"/>
              <w:right w:val="single" w:sz="4" w:space="0" w:color="auto"/>
            </w:tcBorders>
            <w:vAlign w:val="center"/>
            <w:hideMark/>
          </w:tcPr>
          <w:p w:rsidR="002F2C5F" w:rsidRPr="002F2C5F" w:rsidRDefault="002F2C5F" w:rsidP="00B40D0E">
            <w:pPr>
              <w:spacing w:after="0" w:line="240" w:lineRule="auto"/>
              <w:rPr>
                <w:rFonts w:ascii="Calibri" w:eastAsia="Times New Roman" w:hAnsi="Calibri" w:cs="Times New Roman"/>
                <w:b/>
                <w:bCs/>
                <w:lang w:eastAsia="it-IT"/>
              </w:rPr>
            </w:pPr>
          </w:p>
        </w:tc>
        <w:tc>
          <w:tcPr>
            <w:tcW w:w="1245" w:type="dxa"/>
            <w:vMerge/>
            <w:tcBorders>
              <w:top w:val="single" w:sz="4" w:space="0" w:color="auto"/>
              <w:left w:val="single" w:sz="8" w:space="0" w:color="auto"/>
              <w:bottom w:val="single" w:sz="4" w:space="0" w:color="000000"/>
              <w:right w:val="single" w:sz="4" w:space="0" w:color="auto"/>
            </w:tcBorders>
            <w:vAlign w:val="center"/>
            <w:hideMark/>
          </w:tcPr>
          <w:p w:rsidR="002F2C5F" w:rsidRPr="002F2C5F" w:rsidRDefault="002F2C5F" w:rsidP="00B40D0E">
            <w:pPr>
              <w:spacing w:after="0" w:line="240" w:lineRule="auto"/>
              <w:rPr>
                <w:rFonts w:ascii="Calibri" w:eastAsia="Times New Roman" w:hAnsi="Calibri" w:cs="Times New Roman"/>
                <w:b/>
                <w:bCs/>
                <w:lang w:eastAsia="it-IT"/>
              </w:rPr>
            </w:pPr>
          </w:p>
        </w:tc>
        <w:tc>
          <w:tcPr>
            <w:tcW w:w="843" w:type="dxa"/>
            <w:tcBorders>
              <w:top w:val="nil"/>
              <w:left w:val="nil"/>
              <w:bottom w:val="single" w:sz="8" w:space="0" w:color="auto"/>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N</w:t>
            </w:r>
          </w:p>
        </w:tc>
        <w:tc>
          <w:tcPr>
            <w:tcW w:w="1020" w:type="dxa"/>
            <w:tcBorders>
              <w:top w:val="nil"/>
              <w:left w:val="nil"/>
              <w:bottom w:val="single" w:sz="8" w:space="0" w:color="auto"/>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TASSO</w:t>
            </w:r>
          </w:p>
        </w:tc>
        <w:tc>
          <w:tcPr>
            <w:tcW w:w="843" w:type="dxa"/>
            <w:tcBorders>
              <w:top w:val="nil"/>
              <w:left w:val="nil"/>
              <w:bottom w:val="single" w:sz="8" w:space="0" w:color="auto"/>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N</w:t>
            </w:r>
          </w:p>
        </w:tc>
        <w:tc>
          <w:tcPr>
            <w:tcW w:w="1020" w:type="dxa"/>
            <w:tcBorders>
              <w:top w:val="nil"/>
              <w:left w:val="nil"/>
              <w:bottom w:val="single" w:sz="8" w:space="0" w:color="auto"/>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TASSO</w:t>
            </w:r>
          </w:p>
        </w:tc>
        <w:tc>
          <w:tcPr>
            <w:tcW w:w="843" w:type="dxa"/>
            <w:tcBorders>
              <w:top w:val="nil"/>
              <w:left w:val="nil"/>
              <w:bottom w:val="single" w:sz="8" w:space="0" w:color="auto"/>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N</w:t>
            </w:r>
          </w:p>
        </w:tc>
        <w:tc>
          <w:tcPr>
            <w:tcW w:w="1020" w:type="dxa"/>
            <w:tcBorders>
              <w:top w:val="nil"/>
              <w:left w:val="nil"/>
              <w:bottom w:val="single" w:sz="8" w:space="0" w:color="auto"/>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TASSO</w:t>
            </w:r>
          </w:p>
        </w:tc>
        <w:tc>
          <w:tcPr>
            <w:tcW w:w="843" w:type="dxa"/>
            <w:tcBorders>
              <w:top w:val="nil"/>
              <w:left w:val="nil"/>
              <w:bottom w:val="single" w:sz="8" w:space="0" w:color="auto"/>
              <w:right w:val="nil"/>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N</w:t>
            </w:r>
          </w:p>
        </w:tc>
        <w:tc>
          <w:tcPr>
            <w:tcW w:w="1020" w:type="dxa"/>
            <w:tcBorders>
              <w:top w:val="nil"/>
              <w:left w:val="nil"/>
              <w:bottom w:val="single" w:sz="8" w:space="0" w:color="auto"/>
              <w:right w:val="single" w:sz="8" w:space="0" w:color="auto"/>
            </w:tcBorders>
            <w:shd w:val="clear" w:color="000000" w:fill="E4DFEC"/>
            <w:noWrap/>
            <w:vAlign w:val="bottom"/>
            <w:hideMark/>
          </w:tcPr>
          <w:p w:rsidR="002F2C5F" w:rsidRPr="002F2C5F" w:rsidRDefault="002F2C5F" w:rsidP="00B40D0E">
            <w:pPr>
              <w:spacing w:after="0" w:line="240" w:lineRule="auto"/>
              <w:jc w:val="center"/>
              <w:rPr>
                <w:rFonts w:ascii="Calibri" w:eastAsia="Times New Roman" w:hAnsi="Calibri" w:cs="Times New Roman"/>
                <w:b/>
                <w:bCs/>
                <w:lang w:eastAsia="it-IT"/>
              </w:rPr>
            </w:pPr>
            <w:r w:rsidRPr="002F2C5F">
              <w:rPr>
                <w:rFonts w:ascii="Calibri" w:eastAsia="Times New Roman" w:hAnsi="Calibri" w:cs="Times New Roman"/>
                <w:b/>
                <w:bCs/>
                <w:lang w:eastAsia="it-IT"/>
              </w:rPr>
              <w:t>TASSO</w:t>
            </w:r>
          </w:p>
        </w:tc>
      </w:tr>
      <w:tr w:rsidR="002F2C5F" w:rsidRPr="002F2C5F" w:rsidTr="00B40D0E">
        <w:trPr>
          <w:trHeight w:val="303"/>
        </w:trPr>
        <w:tc>
          <w:tcPr>
            <w:tcW w:w="980" w:type="dxa"/>
            <w:vMerge w:val="restart"/>
            <w:tcBorders>
              <w:top w:val="nil"/>
              <w:left w:val="single" w:sz="4" w:space="0" w:color="auto"/>
              <w:bottom w:val="nil"/>
              <w:right w:val="single" w:sz="8" w:space="0" w:color="auto"/>
            </w:tcBorders>
            <w:shd w:val="clear" w:color="000000" w:fill="F2DCDB"/>
            <w:noWrap/>
            <w:vAlign w:val="bottom"/>
            <w:hideMark/>
          </w:tcPr>
          <w:p w:rsidR="002F2C5F" w:rsidRDefault="002F2C5F" w:rsidP="00B40D0E">
            <w:pPr>
              <w:spacing w:after="0" w:line="240" w:lineRule="auto"/>
              <w:rPr>
                <w:rFonts w:ascii="Calibri" w:eastAsia="Times New Roman" w:hAnsi="Calibri" w:cs="Times New Roman"/>
                <w:lang w:eastAsia="it-IT"/>
              </w:rPr>
            </w:pPr>
            <w:r w:rsidRPr="002F2C5F">
              <w:rPr>
                <w:rFonts w:ascii="Calibri" w:eastAsia="Times New Roman" w:hAnsi="Calibri" w:cs="Times New Roman"/>
                <w:lang w:eastAsia="it-IT"/>
              </w:rPr>
              <w:t>F</w:t>
            </w:r>
          </w:p>
          <w:p w:rsidR="002F2C5F" w:rsidRDefault="002F2C5F" w:rsidP="00B40D0E">
            <w:pPr>
              <w:spacing w:after="0" w:line="240" w:lineRule="auto"/>
              <w:rPr>
                <w:rFonts w:ascii="Calibri" w:eastAsia="Times New Roman" w:hAnsi="Calibri" w:cs="Times New Roman"/>
                <w:lang w:eastAsia="it-IT"/>
              </w:rPr>
            </w:pPr>
          </w:p>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nil"/>
              <w:right w:val="single" w:sz="8" w:space="0" w:color="auto"/>
            </w:tcBorders>
            <w:shd w:val="clear" w:color="000000" w:fill="F2DCDB"/>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00-14</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121</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11,22</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169</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14,04</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499</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18,29</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789</w:t>
            </w:r>
          </w:p>
        </w:tc>
        <w:tc>
          <w:tcPr>
            <w:tcW w:w="1020" w:type="dxa"/>
            <w:tcBorders>
              <w:top w:val="nil"/>
              <w:left w:val="nil"/>
              <w:bottom w:val="nil"/>
              <w:right w:val="single" w:sz="8" w:space="0" w:color="auto"/>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15,74</w:t>
            </w:r>
          </w:p>
        </w:tc>
      </w:tr>
      <w:tr w:rsidR="002F2C5F" w:rsidRPr="002F2C5F" w:rsidTr="00B40D0E">
        <w:trPr>
          <w:trHeight w:val="303"/>
        </w:trPr>
        <w:tc>
          <w:tcPr>
            <w:tcW w:w="980" w:type="dxa"/>
            <w:vMerge/>
            <w:tcBorders>
              <w:top w:val="nil"/>
              <w:left w:val="single" w:sz="4" w:space="0" w:color="auto"/>
              <w:bottom w:val="nil"/>
              <w:right w:val="single" w:sz="8" w:space="0" w:color="auto"/>
            </w:tcBorders>
            <w:vAlign w:val="center"/>
            <w:hideMark/>
          </w:tcPr>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nil"/>
              <w:right w:val="single" w:sz="8" w:space="0" w:color="auto"/>
            </w:tcBorders>
            <w:shd w:val="clear" w:color="000000" w:fill="F2DCDB"/>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15-29</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336</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29,20</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394</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29,85</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655</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23,81</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1.385</w:t>
            </w:r>
          </w:p>
        </w:tc>
        <w:tc>
          <w:tcPr>
            <w:tcW w:w="1020" w:type="dxa"/>
            <w:tcBorders>
              <w:top w:val="nil"/>
              <w:left w:val="nil"/>
              <w:bottom w:val="nil"/>
              <w:right w:val="single" w:sz="8" w:space="0" w:color="auto"/>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26,53</w:t>
            </w:r>
          </w:p>
        </w:tc>
      </w:tr>
      <w:tr w:rsidR="002F2C5F" w:rsidRPr="002F2C5F" w:rsidTr="00B40D0E">
        <w:trPr>
          <w:trHeight w:val="303"/>
        </w:trPr>
        <w:tc>
          <w:tcPr>
            <w:tcW w:w="980" w:type="dxa"/>
            <w:vMerge/>
            <w:tcBorders>
              <w:top w:val="nil"/>
              <w:left w:val="single" w:sz="4" w:space="0" w:color="auto"/>
              <w:bottom w:val="nil"/>
              <w:right w:val="single" w:sz="8" w:space="0" w:color="auto"/>
            </w:tcBorders>
            <w:vAlign w:val="center"/>
            <w:hideMark/>
          </w:tcPr>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nil"/>
              <w:right w:val="single" w:sz="8" w:space="0" w:color="auto"/>
            </w:tcBorders>
            <w:shd w:val="clear" w:color="000000" w:fill="F2DCDB"/>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30-64</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1.299</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31,81</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1.715</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36,25</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2.999</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29,44</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6.013</w:t>
            </w:r>
          </w:p>
        </w:tc>
        <w:tc>
          <w:tcPr>
            <w:tcW w:w="1020" w:type="dxa"/>
            <w:tcBorders>
              <w:top w:val="nil"/>
              <w:left w:val="nil"/>
              <w:bottom w:val="nil"/>
              <w:right w:val="single" w:sz="8" w:space="0" w:color="auto"/>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31,65</w:t>
            </w:r>
          </w:p>
        </w:tc>
      </w:tr>
      <w:tr w:rsidR="002F2C5F" w:rsidRPr="002F2C5F" w:rsidTr="00B40D0E">
        <w:trPr>
          <w:trHeight w:val="303"/>
        </w:trPr>
        <w:tc>
          <w:tcPr>
            <w:tcW w:w="980" w:type="dxa"/>
            <w:vMerge/>
            <w:tcBorders>
              <w:top w:val="nil"/>
              <w:left w:val="single" w:sz="4" w:space="0" w:color="auto"/>
              <w:bottom w:val="nil"/>
              <w:right w:val="single" w:sz="8" w:space="0" w:color="auto"/>
            </w:tcBorders>
            <w:vAlign w:val="center"/>
            <w:hideMark/>
          </w:tcPr>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nil"/>
              <w:right w:val="single" w:sz="8" w:space="0" w:color="auto"/>
            </w:tcBorders>
            <w:shd w:val="clear" w:color="000000" w:fill="F2DCDB"/>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65-74</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526</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58,18</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710</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58,74</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1.295</w:t>
            </w:r>
          </w:p>
        </w:tc>
        <w:tc>
          <w:tcPr>
            <w:tcW w:w="1020"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54,31</w:t>
            </w:r>
          </w:p>
        </w:tc>
        <w:tc>
          <w:tcPr>
            <w:tcW w:w="843" w:type="dxa"/>
            <w:tcBorders>
              <w:top w:val="nil"/>
              <w:left w:val="nil"/>
              <w:bottom w:val="nil"/>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2.531</w:t>
            </w:r>
          </w:p>
        </w:tc>
        <w:tc>
          <w:tcPr>
            <w:tcW w:w="1020" w:type="dxa"/>
            <w:tcBorders>
              <w:top w:val="nil"/>
              <w:left w:val="nil"/>
              <w:bottom w:val="nil"/>
              <w:right w:val="single" w:sz="8" w:space="0" w:color="auto"/>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56,28</w:t>
            </w:r>
          </w:p>
        </w:tc>
      </w:tr>
      <w:tr w:rsidR="002F2C5F" w:rsidRPr="002F2C5F" w:rsidTr="00B40D0E">
        <w:trPr>
          <w:trHeight w:val="318"/>
        </w:trPr>
        <w:tc>
          <w:tcPr>
            <w:tcW w:w="980" w:type="dxa"/>
            <w:vMerge/>
            <w:tcBorders>
              <w:top w:val="nil"/>
              <w:left w:val="single" w:sz="4" w:space="0" w:color="auto"/>
              <w:bottom w:val="nil"/>
              <w:right w:val="single" w:sz="8" w:space="0" w:color="auto"/>
            </w:tcBorders>
            <w:vAlign w:val="center"/>
            <w:hideMark/>
          </w:tcPr>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single" w:sz="8" w:space="0" w:color="auto"/>
              <w:right w:val="single" w:sz="8" w:space="0" w:color="auto"/>
            </w:tcBorders>
            <w:shd w:val="clear" w:color="000000" w:fill="F2DCDB"/>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75+</w:t>
            </w:r>
          </w:p>
        </w:tc>
        <w:tc>
          <w:tcPr>
            <w:tcW w:w="843" w:type="dxa"/>
            <w:tcBorders>
              <w:top w:val="nil"/>
              <w:left w:val="nil"/>
              <w:bottom w:val="single" w:sz="8" w:space="0" w:color="auto"/>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1.133</w:t>
            </w:r>
          </w:p>
        </w:tc>
        <w:tc>
          <w:tcPr>
            <w:tcW w:w="1020" w:type="dxa"/>
            <w:tcBorders>
              <w:top w:val="nil"/>
              <w:left w:val="nil"/>
              <w:bottom w:val="single" w:sz="8" w:space="0" w:color="auto"/>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109,32</w:t>
            </w:r>
          </w:p>
        </w:tc>
        <w:tc>
          <w:tcPr>
            <w:tcW w:w="843" w:type="dxa"/>
            <w:tcBorders>
              <w:top w:val="nil"/>
              <w:left w:val="nil"/>
              <w:bottom w:val="single" w:sz="8" w:space="0" w:color="auto"/>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2.106</w:t>
            </w:r>
          </w:p>
        </w:tc>
        <w:tc>
          <w:tcPr>
            <w:tcW w:w="1020" w:type="dxa"/>
            <w:tcBorders>
              <w:top w:val="nil"/>
              <w:left w:val="nil"/>
              <w:bottom w:val="single" w:sz="8" w:space="0" w:color="auto"/>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125,31</w:t>
            </w:r>
          </w:p>
        </w:tc>
        <w:tc>
          <w:tcPr>
            <w:tcW w:w="843" w:type="dxa"/>
            <w:tcBorders>
              <w:top w:val="nil"/>
              <w:left w:val="nil"/>
              <w:bottom w:val="single" w:sz="8" w:space="0" w:color="auto"/>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3.246</w:t>
            </w:r>
          </w:p>
        </w:tc>
        <w:tc>
          <w:tcPr>
            <w:tcW w:w="1020" w:type="dxa"/>
            <w:tcBorders>
              <w:top w:val="nil"/>
              <w:left w:val="nil"/>
              <w:bottom w:val="single" w:sz="8" w:space="0" w:color="auto"/>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104,99</w:t>
            </w:r>
          </w:p>
        </w:tc>
        <w:tc>
          <w:tcPr>
            <w:tcW w:w="843" w:type="dxa"/>
            <w:tcBorders>
              <w:top w:val="nil"/>
              <w:left w:val="nil"/>
              <w:bottom w:val="single" w:sz="8" w:space="0" w:color="auto"/>
              <w:right w:val="nil"/>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6.485</w:t>
            </w:r>
          </w:p>
        </w:tc>
        <w:tc>
          <w:tcPr>
            <w:tcW w:w="1020" w:type="dxa"/>
            <w:tcBorders>
              <w:top w:val="nil"/>
              <w:left w:val="nil"/>
              <w:bottom w:val="single" w:sz="8" w:space="0" w:color="auto"/>
              <w:right w:val="single" w:sz="8" w:space="0" w:color="auto"/>
            </w:tcBorders>
            <w:shd w:val="clear" w:color="000000" w:fill="F2DCDB"/>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111,64</w:t>
            </w:r>
          </w:p>
        </w:tc>
      </w:tr>
      <w:tr w:rsidR="002F2C5F" w:rsidRPr="002F2C5F" w:rsidTr="00B40D0E">
        <w:trPr>
          <w:trHeight w:val="303"/>
        </w:trPr>
        <w:tc>
          <w:tcPr>
            <w:tcW w:w="980" w:type="dxa"/>
            <w:vMerge w:val="restart"/>
            <w:tcBorders>
              <w:top w:val="nil"/>
              <w:left w:val="single" w:sz="4" w:space="0" w:color="auto"/>
              <w:bottom w:val="single" w:sz="4" w:space="0" w:color="000000"/>
              <w:right w:val="single" w:sz="8" w:space="0" w:color="auto"/>
            </w:tcBorders>
            <w:shd w:val="clear" w:color="000000" w:fill="DCE6F1"/>
            <w:noWrap/>
            <w:vAlign w:val="bottom"/>
            <w:hideMark/>
          </w:tcPr>
          <w:p w:rsidR="002F2C5F" w:rsidRDefault="002F2C5F" w:rsidP="00B40D0E">
            <w:pPr>
              <w:spacing w:after="0" w:line="240" w:lineRule="auto"/>
              <w:rPr>
                <w:rFonts w:ascii="Calibri" w:eastAsia="Times New Roman" w:hAnsi="Calibri" w:cs="Times New Roman"/>
                <w:lang w:eastAsia="it-IT"/>
              </w:rPr>
            </w:pPr>
            <w:r w:rsidRPr="002F2C5F">
              <w:rPr>
                <w:rFonts w:ascii="Calibri" w:eastAsia="Times New Roman" w:hAnsi="Calibri" w:cs="Times New Roman"/>
                <w:lang w:eastAsia="it-IT"/>
              </w:rPr>
              <w:t>M</w:t>
            </w:r>
          </w:p>
          <w:p w:rsidR="002F2C5F" w:rsidRDefault="002F2C5F" w:rsidP="00B40D0E">
            <w:pPr>
              <w:spacing w:after="0" w:line="240" w:lineRule="auto"/>
              <w:rPr>
                <w:rFonts w:ascii="Calibri" w:eastAsia="Times New Roman" w:hAnsi="Calibri" w:cs="Times New Roman"/>
                <w:lang w:eastAsia="it-IT"/>
              </w:rPr>
            </w:pPr>
          </w:p>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nil"/>
              <w:right w:val="single" w:sz="8" w:space="0" w:color="auto"/>
            </w:tcBorders>
            <w:shd w:val="clear" w:color="000000" w:fill="DCE6F1"/>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00-14</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260</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22,14</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352</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26,81</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841</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28,66</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1.453</w:t>
            </w:r>
          </w:p>
        </w:tc>
        <w:tc>
          <w:tcPr>
            <w:tcW w:w="1020" w:type="dxa"/>
            <w:tcBorders>
              <w:top w:val="nil"/>
              <w:left w:val="nil"/>
              <w:bottom w:val="nil"/>
              <w:right w:val="single" w:sz="8" w:space="0" w:color="auto"/>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26,80</w:t>
            </w:r>
          </w:p>
        </w:tc>
      </w:tr>
      <w:tr w:rsidR="002F2C5F" w:rsidRPr="002F2C5F" w:rsidTr="00B40D0E">
        <w:trPr>
          <w:trHeight w:val="303"/>
        </w:trPr>
        <w:tc>
          <w:tcPr>
            <w:tcW w:w="980" w:type="dxa"/>
            <w:vMerge/>
            <w:tcBorders>
              <w:top w:val="nil"/>
              <w:left w:val="single" w:sz="4" w:space="0" w:color="auto"/>
              <w:bottom w:val="single" w:sz="4" w:space="0" w:color="000000"/>
              <w:right w:val="single" w:sz="8" w:space="0" w:color="auto"/>
            </w:tcBorders>
            <w:vAlign w:val="center"/>
            <w:hideMark/>
          </w:tcPr>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nil"/>
              <w:right w:val="single" w:sz="8" w:space="0" w:color="auto"/>
            </w:tcBorders>
            <w:shd w:val="clear" w:color="000000" w:fill="DCE6F1"/>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15-29</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498</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41,79</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636</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45,64</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931</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31,85</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2.065</w:t>
            </w:r>
          </w:p>
        </w:tc>
        <w:tc>
          <w:tcPr>
            <w:tcW w:w="1020" w:type="dxa"/>
            <w:tcBorders>
              <w:top w:val="nil"/>
              <w:left w:val="nil"/>
              <w:bottom w:val="nil"/>
              <w:right w:val="single" w:sz="8" w:space="0" w:color="auto"/>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37,49</w:t>
            </w:r>
          </w:p>
        </w:tc>
      </w:tr>
      <w:tr w:rsidR="002F2C5F" w:rsidRPr="002F2C5F" w:rsidTr="00B40D0E">
        <w:trPr>
          <w:trHeight w:val="303"/>
        </w:trPr>
        <w:tc>
          <w:tcPr>
            <w:tcW w:w="980" w:type="dxa"/>
            <w:vMerge/>
            <w:tcBorders>
              <w:top w:val="nil"/>
              <w:left w:val="single" w:sz="4" w:space="0" w:color="auto"/>
              <w:bottom w:val="single" w:sz="4" w:space="0" w:color="000000"/>
              <w:right w:val="single" w:sz="8" w:space="0" w:color="auto"/>
            </w:tcBorders>
            <w:vAlign w:val="center"/>
            <w:hideMark/>
          </w:tcPr>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nil"/>
              <w:right w:val="single" w:sz="8" w:space="0" w:color="auto"/>
            </w:tcBorders>
            <w:shd w:val="clear" w:color="000000" w:fill="DCE6F1"/>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30-64</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1.143</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27,33</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1.620</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33,19</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2.792</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26,89</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5.555</w:t>
            </w:r>
          </w:p>
        </w:tc>
        <w:tc>
          <w:tcPr>
            <w:tcW w:w="1020" w:type="dxa"/>
            <w:tcBorders>
              <w:top w:val="nil"/>
              <w:left w:val="nil"/>
              <w:bottom w:val="nil"/>
              <w:right w:val="single" w:sz="8" w:space="0" w:color="auto"/>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28,57</w:t>
            </w:r>
          </w:p>
        </w:tc>
      </w:tr>
      <w:tr w:rsidR="002F2C5F" w:rsidRPr="002F2C5F" w:rsidTr="00B40D0E">
        <w:trPr>
          <w:trHeight w:val="303"/>
        </w:trPr>
        <w:tc>
          <w:tcPr>
            <w:tcW w:w="980" w:type="dxa"/>
            <w:vMerge/>
            <w:tcBorders>
              <w:top w:val="nil"/>
              <w:left w:val="single" w:sz="4" w:space="0" w:color="auto"/>
              <w:bottom w:val="single" w:sz="4" w:space="0" w:color="000000"/>
              <w:right w:val="single" w:sz="8" w:space="0" w:color="auto"/>
            </w:tcBorders>
            <w:vAlign w:val="center"/>
            <w:hideMark/>
          </w:tcPr>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nil"/>
              <w:right w:val="single" w:sz="8" w:space="0" w:color="auto"/>
            </w:tcBorders>
            <w:shd w:val="clear" w:color="000000" w:fill="DCE6F1"/>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65-74</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580</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65,40</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762</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71,39</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1.361</w:t>
            </w:r>
          </w:p>
        </w:tc>
        <w:tc>
          <w:tcPr>
            <w:tcW w:w="1020"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64,05</w:t>
            </w:r>
          </w:p>
        </w:tc>
        <w:tc>
          <w:tcPr>
            <w:tcW w:w="843" w:type="dxa"/>
            <w:tcBorders>
              <w:top w:val="nil"/>
              <w:left w:val="nil"/>
              <w:bottom w:val="nil"/>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2.703</w:t>
            </w:r>
          </w:p>
        </w:tc>
        <w:tc>
          <w:tcPr>
            <w:tcW w:w="1020" w:type="dxa"/>
            <w:tcBorders>
              <w:top w:val="nil"/>
              <w:left w:val="nil"/>
              <w:bottom w:val="nil"/>
              <w:right w:val="single" w:sz="8" w:space="0" w:color="auto"/>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66,27</w:t>
            </w:r>
          </w:p>
        </w:tc>
      </w:tr>
      <w:tr w:rsidR="002F2C5F" w:rsidRPr="002F2C5F" w:rsidTr="00B40D0E">
        <w:trPr>
          <w:trHeight w:val="318"/>
        </w:trPr>
        <w:tc>
          <w:tcPr>
            <w:tcW w:w="980" w:type="dxa"/>
            <w:vMerge/>
            <w:tcBorders>
              <w:top w:val="nil"/>
              <w:left w:val="single" w:sz="4" w:space="0" w:color="auto"/>
              <w:bottom w:val="single" w:sz="4" w:space="0" w:color="000000"/>
              <w:right w:val="single" w:sz="8" w:space="0" w:color="auto"/>
            </w:tcBorders>
            <w:vAlign w:val="center"/>
            <w:hideMark/>
          </w:tcPr>
          <w:p w:rsidR="002F2C5F" w:rsidRPr="002F2C5F" w:rsidRDefault="002F2C5F" w:rsidP="00B40D0E">
            <w:pPr>
              <w:spacing w:after="0" w:line="240" w:lineRule="auto"/>
              <w:rPr>
                <w:rFonts w:ascii="Calibri" w:eastAsia="Times New Roman" w:hAnsi="Calibri" w:cs="Times New Roman"/>
                <w:lang w:eastAsia="it-IT"/>
              </w:rPr>
            </w:pPr>
          </w:p>
        </w:tc>
        <w:tc>
          <w:tcPr>
            <w:tcW w:w="1245" w:type="dxa"/>
            <w:tcBorders>
              <w:top w:val="nil"/>
              <w:left w:val="nil"/>
              <w:bottom w:val="single" w:sz="8" w:space="0" w:color="auto"/>
              <w:right w:val="single" w:sz="8" w:space="0" w:color="auto"/>
            </w:tcBorders>
            <w:shd w:val="clear" w:color="000000" w:fill="DCE6F1"/>
            <w:noWrap/>
            <w:vAlign w:val="bottom"/>
            <w:hideMark/>
          </w:tcPr>
          <w:p w:rsidR="002F2C5F" w:rsidRPr="002F2C5F" w:rsidRDefault="002F2C5F" w:rsidP="00B40D0E">
            <w:pPr>
              <w:spacing w:after="0" w:line="240" w:lineRule="auto"/>
              <w:rPr>
                <w:rFonts w:ascii="Calibri" w:eastAsia="Times New Roman" w:hAnsi="Calibri" w:cs="Times New Roman"/>
                <w:b/>
                <w:bCs/>
                <w:lang w:eastAsia="it-IT"/>
              </w:rPr>
            </w:pPr>
            <w:r w:rsidRPr="002F2C5F">
              <w:rPr>
                <w:rFonts w:ascii="Calibri" w:eastAsia="Times New Roman" w:hAnsi="Calibri" w:cs="Times New Roman"/>
                <w:b/>
                <w:bCs/>
                <w:lang w:eastAsia="it-IT"/>
              </w:rPr>
              <w:t>75+</w:t>
            </w:r>
          </w:p>
        </w:tc>
        <w:tc>
          <w:tcPr>
            <w:tcW w:w="843" w:type="dxa"/>
            <w:tcBorders>
              <w:top w:val="nil"/>
              <w:left w:val="nil"/>
              <w:bottom w:val="single" w:sz="8" w:space="0" w:color="auto"/>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958</w:t>
            </w:r>
          </w:p>
        </w:tc>
        <w:tc>
          <w:tcPr>
            <w:tcW w:w="1020" w:type="dxa"/>
            <w:tcBorders>
              <w:top w:val="nil"/>
              <w:left w:val="nil"/>
              <w:bottom w:val="single" w:sz="8" w:space="0" w:color="auto"/>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146,79</w:t>
            </w:r>
          </w:p>
        </w:tc>
        <w:tc>
          <w:tcPr>
            <w:tcW w:w="843" w:type="dxa"/>
            <w:tcBorders>
              <w:top w:val="nil"/>
              <w:left w:val="nil"/>
              <w:bottom w:val="single" w:sz="8" w:space="0" w:color="auto"/>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1.637</w:t>
            </w:r>
          </w:p>
        </w:tc>
        <w:tc>
          <w:tcPr>
            <w:tcW w:w="1020" w:type="dxa"/>
            <w:tcBorders>
              <w:top w:val="nil"/>
              <w:left w:val="nil"/>
              <w:bottom w:val="single" w:sz="8" w:space="0" w:color="auto"/>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169,87</w:t>
            </w:r>
          </w:p>
        </w:tc>
        <w:tc>
          <w:tcPr>
            <w:tcW w:w="843" w:type="dxa"/>
            <w:tcBorders>
              <w:top w:val="nil"/>
              <w:left w:val="nil"/>
              <w:bottom w:val="single" w:sz="8" w:space="0" w:color="auto"/>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2.753</w:t>
            </w:r>
          </w:p>
        </w:tc>
        <w:tc>
          <w:tcPr>
            <w:tcW w:w="1020" w:type="dxa"/>
            <w:tcBorders>
              <w:top w:val="nil"/>
              <w:left w:val="nil"/>
              <w:bottom w:val="single" w:sz="8" w:space="0" w:color="auto"/>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146,34</w:t>
            </w:r>
          </w:p>
        </w:tc>
        <w:tc>
          <w:tcPr>
            <w:tcW w:w="843" w:type="dxa"/>
            <w:tcBorders>
              <w:top w:val="nil"/>
              <w:left w:val="nil"/>
              <w:bottom w:val="single" w:sz="8" w:space="0" w:color="auto"/>
              <w:right w:val="nil"/>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5.348</w:t>
            </w:r>
          </w:p>
        </w:tc>
        <w:tc>
          <w:tcPr>
            <w:tcW w:w="1020" w:type="dxa"/>
            <w:tcBorders>
              <w:top w:val="nil"/>
              <w:left w:val="nil"/>
              <w:bottom w:val="single" w:sz="8" w:space="0" w:color="auto"/>
              <w:right w:val="single" w:sz="8" w:space="0" w:color="auto"/>
            </w:tcBorders>
            <w:shd w:val="clear" w:color="000000" w:fill="DCE6F1"/>
            <w:noWrap/>
            <w:vAlign w:val="bottom"/>
            <w:hideMark/>
          </w:tcPr>
          <w:p w:rsidR="002F2C5F" w:rsidRPr="002F2C5F" w:rsidRDefault="002F2C5F" w:rsidP="00B40D0E">
            <w:pPr>
              <w:spacing w:after="0" w:line="240" w:lineRule="auto"/>
              <w:jc w:val="right"/>
              <w:rPr>
                <w:rFonts w:ascii="Calibri" w:eastAsia="Times New Roman" w:hAnsi="Calibri" w:cs="Times New Roman"/>
                <w:lang w:eastAsia="it-IT"/>
              </w:rPr>
            </w:pPr>
            <w:r w:rsidRPr="002F2C5F">
              <w:rPr>
                <w:rFonts w:ascii="Calibri" w:eastAsia="Times New Roman" w:hAnsi="Calibri" w:cs="Times New Roman"/>
                <w:lang w:eastAsia="it-IT"/>
              </w:rPr>
              <w:t>152,90</w:t>
            </w:r>
          </w:p>
        </w:tc>
      </w:tr>
    </w:tbl>
    <w:p w:rsidR="002F2C5F" w:rsidRDefault="002F2C5F" w:rsidP="002F2C5F">
      <w:pPr>
        <w:pStyle w:val="Nessunaspaziatura"/>
        <w:jc w:val="both"/>
        <w:rPr>
          <w:rFonts w:cs="Arial"/>
          <w:b/>
        </w:rPr>
      </w:pPr>
    </w:p>
    <w:p w:rsidR="002F2C5F" w:rsidRDefault="002F2C5F" w:rsidP="004D2786">
      <w:pPr>
        <w:pStyle w:val="Nessunaspaziatura"/>
        <w:jc w:val="both"/>
        <w:rPr>
          <w:b/>
        </w:rPr>
      </w:pPr>
      <w:r>
        <w:rPr>
          <w:noProof/>
          <w:lang w:eastAsia="it-IT"/>
        </w:rPr>
        <w:drawing>
          <wp:inline distT="0" distB="0" distL="0" distR="0" wp14:anchorId="45BF8705" wp14:editId="5FAB95F8">
            <wp:extent cx="6124575" cy="2486025"/>
            <wp:effectExtent l="0" t="0" r="9525" b="9525"/>
            <wp:docPr id="75" name="Grafico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200843" w:rsidRDefault="00200843"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F75B6D" w:rsidRDefault="00F75B6D" w:rsidP="004D2786">
      <w:pPr>
        <w:pStyle w:val="Nessunaspaziatura"/>
        <w:jc w:val="both"/>
        <w:rPr>
          <w:b/>
        </w:rPr>
      </w:pPr>
    </w:p>
    <w:p w:rsidR="003079E2" w:rsidRDefault="00B40D0E" w:rsidP="004D2786">
      <w:pPr>
        <w:pStyle w:val="Nessunaspaziatura"/>
        <w:jc w:val="both"/>
        <w:rPr>
          <w:b/>
        </w:rPr>
      </w:pPr>
      <w:r>
        <w:rPr>
          <w:b/>
        </w:rPr>
        <w:t xml:space="preserve">Celiachia </w:t>
      </w:r>
    </w:p>
    <w:p w:rsidR="005B358F" w:rsidRDefault="005B358F" w:rsidP="004F32F9">
      <w:pPr>
        <w:pStyle w:val="Nessunaspaziatura"/>
        <w:jc w:val="both"/>
        <w:rPr>
          <w:b/>
        </w:rPr>
      </w:pPr>
    </w:p>
    <w:p w:rsidR="00B40D0E" w:rsidRDefault="005B358F" w:rsidP="00651C8D">
      <w:pPr>
        <w:pStyle w:val="Nessunaspaziatura"/>
        <w:jc w:val="both"/>
      </w:pPr>
      <w:r w:rsidRPr="005B358F">
        <w:t>La celiachia</w:t>
      </w:r>
      <w:r w:rsidR="00F11591">
        <w:t>,</w:t>
      </w:r>
      <w:r w:rsidRPr="005B358F">
        <w:t xml:space="preserve"> patologia cronica </w:t>
      </w:r>
      <w:r w:rsidR="00F742D6">
        <w:t xml:space="preserve">su base genetica </w:t>
      </w:r>
      <w:r w:rsidRPr="005B358F">
        <w:t>riconducibile ad una infiammazione cronica della mucosa intestinale</w:t>
      </w:r>
      <w:r w:rsidR="00651C8D">
        <w:t xml:space="preserve"> </w:t>
      </w:r>
      <w:r w:rsidR="006859D6">
        <w:t>c</w:t>
      </w:r>
      <w:r w:rsidRPr="005B358F">
        <w:t>ausata dall’ingestione di sostanze proteiche della frazione glu</w:t>
      </w:r>
      <w:r w:rsidR="00F11591">
        <w:t xml:space="preserve">tinica, </w:t>
      </w:r>
      <w:r w:rsidR="00F742D6">
        <w:t xml:space="preserve">è </w:t>
      </w:r>
      <w:r>
        <w:t>stata inserita finora nelle malattie rare</w:t>
      </w:r>
      <w:r w:rsidR="00F11591">
        <w:t>. I</w:t>
      </w:r>
      <w:r>
        <w:t xml:space="preserve">l trattamento </w:t>
      </w:r>
      <w:r w:rsidR="00F11591">
        <w:t>necessario per controllarne i sintomi, che vanno dalla diarrea al malassorbime</w:t>
      </w:r>
      <w:r w:rsidR="00F742D6">
        <w:t>nto ed al conseguente deficit</w:t>
      </w:r>
      <w:r w:rsidR="00F11591">
        <w:t xml:space="preserve"> nutrizion</w:t>
      </w:r>
      <w:r w:rsidR="00F742D6">
        <w:t>ale</w:t>
      </w:r>
      <w:r w:rsidR="00F11591">
        <w:t>,</w:t>
      </w:r>
      <w:r w:rsidR="00A44FD2">
        <w:t xml:space="preserve"> consiste </w:t>
      </w:r>
      <w:r>
        <w:t>soprattutto in un’alimentazione priva di glutine</w:t>
      </w:r>
      <w:r w:rsidR="006859D6">
        <w:t>.</w:t>
      </w:r>
      <w:r>
        <w:t xml:space="preserve"> È importante </w:t>
      </w:r>
      <w:r w:rsidR="00A44FD2">
        <w:t xml:space="preserve">quindi la </w:t>
      </w:r>
      <w:r>
        <w:t>diagnosi precoce al fine di istaurare quanto pri</w:t>
      </w:r>
      <w:r w:rsidR="006859D6">
        <w:t>ma un regime alimentare adatto a</w:t>
      </w:r>
      <w:r w:rsidR="00B136B2">
        <w:t xml:space="preserve"> prevenire </w:t>
      </w:r>
      <w:r>
        <w:t xml:space="preserve">le conseguenze più pesanti. </w:t>
      </w:r>
      <w:r w:rsidR="00A163F7">
        <w:t>S</w:t>
      </w:r>
      <w:r>
        <w:t>ono soprattutto le prime età della vita ad essere interes</w:t>
      </w:r>
      <w:r w:rsidR="00A163F7">
        <w:t>sate da questa patologia che quindi vanno particolarm</w:t>
      </w:r>
      <w:r w:rsidR="00A44FD2">
        <w:t xml:space="preserve">ente monitorate anche per </w:t>
      </w:r>
      <w:r w:rsidR="00B136B2">
        <w:t xml:space="preserve">tale </w:t>
      </w:r>
      <w:r w:rsidR="00A44FD2">
        <w:t>ragione</w:t>
      </w:r>
      <w:r w:rsidR="00A163F7">
        <w:t>.</w:t>
      </w:r>
    </w:p>
    <w:p w:rsidR="005B358F" w:rsidRDefault="005B358F" w:rsidP="00651C8D">
      <w:pPr>
        <w:pStyle w:val="Nessunaspaziatura"/>
        <w:jc w:val="both"/>
      </w:pPr>
      <w:r>
        <w:t xml:space="preserve">I dati relativi ai tassi età specifici e al genere vengono presentati in tabella per tutte le classi di età </w:t>
      </w:r>
      <w:r w:rsidR="004F32F9">
        <w:t>e in grafico per i soggetti con età &lt;65anni.</w:t>
      </w:r>
    </w:p>
    <w:p w:rsidR="004F32F9" w:rsidRDefault="004F32F9" w:rsidP="00651C8D">
      <w:pPr>
        <w:pStyle w:val="Nessunaspaziatura"/>
        <w:jc w:val="both"/>
      </w:pPr>
      <w:r>
        <w:t>Sono abbastanza ev</w:t>
      </w:r>
      <w:r w:rsidR="00A163F7">
        <w:t>identi le differenze di genere</w:t>
      </w:r>
      <w:r w:rsidR="00A44FD2">
        <w:t>,</w:t>
      </w:r>
      <w:r w:rsidR="00A163F7">
        <w:t xml:space="preserve"> con </w:t>
      </w:r>
      <w:r>
        <w:t xml:space="preserve">maggiore coinvolgimento del sesso femminile, e il </w:t>
      </w:r>
      <w:r w:rsidR="00A163F7">
        <w:t xml:space="preserve">più elevato </w:t>
      </w:r>
      <w:r>
        <w:t>tasso</w:t>
      </w:r>
      <w:r w:rsidR="00A163F7" w:rsidRPr="00A163F7">
        <w:t xml:space="preserve"> </w:t>
      </w:r>
      <w:r w:rsidR="00A163F7">
        <w:t>di prevalenza</w:t>
      </w:r>
      <w:r>
        <w:t xml:space="preserve"> </w:t>
      </w:r>
      <w:r w:rsidR="00A163F7">
        <w:t>nelle</w:t>
      </w:r>
      <w:r>
        <w:t xml:space="preserve"> le prime classi di età,</w:t>
      </w:r>
      <w:r w:rsidR="00A44FD2">
        <w:t xml:space="preserve"> come atteso. La </w:t>
      </w:r>
      <w:r>
        <w:t>diagnosi pare anticipata a Mantova rispetto a Cremona e Crema.</w:t>
      </w:r>
    </w:p>
    <w:p w:rsidR="001A051D" w:rsidRPr="005B358F" w:rsidRDefault="001A051D" w:rsidP="004F32F9">
      <w:pPr>
        <w:pStyle w:val="Nessunaspaziatura"/>
        <w:jc w:val="both"/>
      </w:pPr>
    </w:p>
    <w:tbl>
      <w:tblPr>
        <w:tblW w:w="9620" w:type="dxa"/>
        <w:tblInd w:w="55" w:type="dxa"/>
        <w:tblCellMar>
          <w:left w:w="70" w:type="dxa"/>
          <w:right w:w="70" w:type="dxa"/>
        </w:tblCellMar>
        <w:tblLook w:val="04A0" w:firstRow="1" w:lastRow="0" w:firstColumn="1" w:lastColumn="0" w:noHBand="0" w:noVBand="1"/>
      </w:tblPr>
      <w:tblGrid>
        <w:gridCol w:w="700"/>
        <w:gridCol w:w="1240"/>
        <w:gridCol w:w="910"/>
        <w:gridCol w:w="1010"/>
        <w:gridCol w:w="833"/>
        <w:gridCol w:w="1087"/>
        <w:gridCol w:w="898"/>
        <w:gridCol w:w="1022"/>
        <w:gridCol w:w="962"/>
        <w:gridCol w:w="958"/>
      </w:tblGrid>
      <w:tr w:rsidR="001A051D" w:rsidRPr="001A051D" w:rsidTr="001A051D">
        <w:trPr>
          <w:trHeight w:val="30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Sesso</w:t>
            </w:r>
          </w:p>
        </w:tc>
        <w:tc>
          <w:tcPr>
            <w:tcW w:w="1240" w:type="dxa"/>
            <w:vMerge w:val="restart"/>
            <w:tcBorders>
              <w:top w:val="single" w:sz="4" w:space="0" w:color="auto"/>
              <w:left w:val="nil"/>
              <w:bottom w:val="single" w:sz="4" w:space="0" w:color="000000"/>
              <w:right w:val="single" w:sz="4" w:space="0" w:color="auto"/>
            </w:tcBorders>
            <w:shd w:val="clear" w:color="auto" w:fill="auto"/>
            <w:noWrap/>
            <w:vAlign w:val="center"/>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Classi di età</w:t>
            </w:r>
          </w:p>
        </w:tc>
        <w:tc>
          <w:tcPr>
            <w:tcW w:w="7680" w:type="dxa"/>
            <w:gridSpan w:val="8"/>
            <w:tcBorders>
              <w:top w:val="single" w:sz="8" w:space="0" w:color="auto"/>
              <w:left w:val="single" w:sz="8" w:space="0" w:color="auto"/>
              <w:bottom w:val="nil"/>
              <w:right w:val="single" w:sz="8" w:space="0" w:color="000000"/>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CELIACHIA</w:t>
            </w:r>
          </w:p>
        </w:tc>
      </w:tr>
      <w:tr w:rsidR="001A051D" w:rsidRPr="001A051D" w:rsidTr="001A051D">
        <w:trPr>
          <w:trHeight w:val="300"/>
        </w:trPr>
        <w:tc>
          <w:tcPr>
            <w:tcW w:w="700" w:type="dxa"/>
            <w:vMerge/>
            <w:tcBorders>
              <w:top w:val="single" w:sz="4" w:space="0" w:color="auto"/>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b/>
                <w:bCs/>
                <w:lang w:eastAsia="it-IT"/>
              </w:rPr>
            </w:pPr>
          </w:p>
        </w:tc>
        <w:tc>
          <w:tcPr>
            <w:tcW w:w="1240" w:type="dxa"/>
            <w:vMerge/>
            <w:tcBorders>
              <w:top w:val="single" w:sz="4" w:space="0" w:color="auto"/>
              <w:left w:val="nil"/>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b/>
                <w:bCs/>
                <w:lang w:eastAsia="it-IT"/>
              </w:rPr>
            </w:pPr>
          </w:p>
        </w:tc>
        <w:tc>
          <w:tcPr>
            <w:tcW w:w="1920" w:type="dxa"/>
            <w:gridSpan w:val="2"/>
            <w:tcBorders>
              <w:top w:val="nil"/>
              <w:left w:val="single" w:sz="8" w:space="0" w:color="auto"/>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CREMA</w:t>
            </w:r>
          </w:p>
        </w:tc>
        <w:tc>
          <w:tcPr>
            <w:tcW w:w="1920" w:type="dxa"/>
            <w:gridSpan w:val="2"/>
            <w:tcBorders>
              <w:top w:val="nil"/>
              <w:left w:val="nil"/>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CREMONA</w:t>
            </w:r>
          </w:p>
        </w:tc>
        <w:tc>
          <w:tcPr>
            <w:tcW w:w="1920" w:type="dxa"/>
            <w:gridSpan w:val="2"/>
            <w:tcBorders>
              <w:top w:val="nil"/>
              <w:left w:val="nil"/>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MANTOVA</w:t>
            </w:r>
          </w:p>
        </w:tc>
        <w:tc>
          <w:tcPr>
            <w:tcW w:w="1920" w:type="dxa"/>
            <w:gridSpan w:val="2"/>
            <w:tcBorders>
              <w:top w:val="nil"/>
              <w:left w:val="nil"/>
              <w:bottom w:val="nil"/>
              <w:right w:val="single" w:sz="8" w:space="0" w:color="000000"/>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ATS</w:t>
            </w:r>
          </w:p>
        </w:tc>
      </w:tr>
      <w:tr w:rsidR="00BE409B" w:rsidRPr="001A051D" w:rsidTr="00BE409B">
        <w:trPr>
          <w:trHeight w:val="315"/>
        </w:trPr>
        <w:tc>
          <w:tcPr>
            <w:tcW w:w="700" w:type="dxa"/>
            <w:vMerge/>
            <w:tcBorders>
              <w:top w:val="single" w:sz="4" w:space="0" w:color="auto"/>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b/>
                <w:bCs/>
                <w:lang w:eastAsia="it-IT"/>
              </w:rPr>
            </w:pPr>
          </w:p>
        </w:tc>
        <w:tc>
          <w:tcPr>
            <w:tcW w:w="1240" w:type="dxa"/>
            <w:vMerge/>
            <w:tcBorders>
              <w:top w:val="single" w:sz="4" w:space="0" w:color="auto"/>
              <w:left w:val="nil"/>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b/>
                <w:bCs/>
                <w:lang w:eastAsia="it-IT"/>
              </w:rPr>
            </w:pPr>
          </w:p>
        </w:tc>
        <w:tc>
          <w:tcPr>
            <w:tcW w:w="910" w:type="dxa"/>
            <w:tcBorders>
              <w:top w:val="nil"/>
              <w:left w:val="single" w:sz="8" w:space="0" w:color="auto"/>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N</w:t>
            </w:r>
            <w:r w:rsidR="00BE409B">
              <w:rPr>
                <w:rFonts w:ascii="Calibri" w:eastAsia="Times New Roman" w:hAnsi="Calibri" w:cs="Times New Roman"/>
                <w:b/>
                <w:bCs/>
                <w:lang w:eastAsia="it-IT"/>
              </w:rPr>
              <w:t xml:space="preserve"> casi </w:t>
            </w:r>
          </w:p>
        </w:tc>
        <w:tc>
          <w:tcPr>
            <w:tcW w:w="1010" w:type="dxa"/>
            <w:tcBorders>
              <w:top w:val="nil"/>
              <w:left w:val="nil"/>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TASSO</w:t>
            </w:r>
          </w:p>
        </w:tc>
        <w:tc>
          <w:tcPr>
            <w:tcW w:w="833" w:type="dxa"/>
            <w:tcBorders>
              <w:top w:val="nil"/>
              <w:left w:val="nil"/>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N</w:t>
            </w:r>
            <w:r w:rsidR="00BE409B">
              <w:rPr>
                <w:rFonts w:ascii="Calibri" w:eastAsia="Times New Roman" w:hAnsi="Calibri" w:cs="Times New Roman"/>
                <w:b/>
                <w:bCs/>
                <w:lang w:eastAsia="it-IT"/>
              </w:rPr>
              <w:t xml:space="preserve"> casi</w:t>
            </w:r>
          </w:p>
        </w:tc>
        <w:tc>
          <w:tcPr>
            <w:tcW w:w="1087" w:type="dxa"/>
            <w:tcBorders>
              <w:top w:val="nil"/>
              <w:left w:val="nil"/>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TASSO</w:t>
            </w:r>
          </w:p>
        </w:tc>
        <w:tc>
          <w:tcPr>
            <w:tcW w:w="898" w:type="dxa"/>
            <w:tcBorders>
              <w:top w:val="nil"/>
              <w:left w:val="nil"/>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N</w:t>
            </w:r>
            <w:r w:rsidR="00BE409B">
              <w:rPr>
                <w:rFonts w:ascii="Calibri" w:eastAsia="Times New Roman" w:hAnsi="Calibri" w:cs="Times New Roman"/>
                <w:b/>
                <w:bCs/>
                <w:lang w:eastAsia="it-IT"/>
              </w:rPr>
              <w:t xml:space="preserve"> casi</w:t>
            </w:r>
          </w:p>
        </w:tc>
        <w:tc>
          <w:tcPr>
            <w:tcW w:w="1022" w:type="dxa"/>
            <w:tcBorders>
              <w:top w:val="nil"/>
              <w:left w:val="nil"/>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TASSO</w:t>
            </w:r>
          </w:p>
        </w:tc>
        <w:tc>
          <w:tcPr>
            <w:tcW w:w="962" w:type="dxa"/>
            <w:tcBorders>
              <w:top w:val="nil"/>
              <w:left w:val="nil"/>
              <w:bottom w:val="nil"/>
              <w:right w:val="nil"/>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N</w:t>
            </w:r>
            <w:r w:rsidR="00BE409B">
              <w:rPr>
                <w:rFonts w:ascii="Calibri" w:eastAsia="Times New Roman" w:hAnsi="Calibri" w:cs="Times New Roman"/>
                <w:b/>
                <w:bCs/>
                <w:lang w:eastAsia="it-IT"/>
              </w:rPr>
              <w:t xml:space="preserve"> casi</w:t>
            </w:r>
          </w:p>
        </w:tc>
        <w:tc>
          <w:tcPr>
            <w:tcW w:w="958" w:type="dxa"/>
            <w:tcBorders>
              <w:top w:val="nil"/>
              <w:left w:val="nil"/>
              <w:bottom w:val="nil"/>
              <w:right w:val="single" w:sz="8" w:space="0" w:color="auto"/>
            </w:tcBorders>
            <w:shd w:val="clear" w:color="000000" w:fill="E4DFEC"/>
            <w:noWrap/>
            <w:vAlign w:val="bottom"/>
            <w:hideMark/>
          </w:tcPr>
          <w:p w:rsidR="001A051D" w:rsidRPr="001A051D" w:rsidRDefault="001A051D" w:rsidP="001A051D">
            <w:pPr>
              <w:spacing w:after="0" w:line="240" w:lineRule="auto"/>
              <w:jc w:val="center"/>
              <w:rPr>
                <w:rFonts w:ascii="Calibri" w:eastAsia="Times New Roman" w:hAnsi="Calibri" w:cs="Times New Roman"/>
                <w:b/>
                <w:bCs/>
                <w:lang w:eastAsia="it-IT"/>
              </w:rPr>
            </w:pPr>
            <w:r w:rsidRPr="001A051D">
              <w:rPr>
                <w:rFonts w:ascii="Calibri" w:eastAsia="Times New Roman" w:hAnsi="Calibri" w:cs="Times New Roman"/>
                <w:b/>
                <w:bCs/>
                <w:lang w:eastAsia="it-IT"/>
              </w:rPr>
              <w:t>TASSO</w:t>
            </w:r>
          </w:p>
        </w:tc>
      </w:tr>
      <w:tr w:rsidR="00BE409B" w:rsidRPr="001A051D" w:rsidTr="00BE409B">
        <w:trPr>
          <w:trHeight w:val="300"/>
        </w:trPr>
        <w:tc>
          <w:tcPr>
            <w:tcW w:w="700" w:type="dxa"/>
            <w:vMerge w:val="restart"/>
            <w:tcBorders>
              <w:top w:val="nil"/>
              <w:left w:val="single" w:sz="4" w:space="0" w:color="auto"/>
              <w:bottom w:val="single" w:sz="4" w:space="0" w:color="000000"/>
              <w:right w:val="single" w:sz="4" w:space="0" w:color="auto"/>
            </w:tcBorders>
            <w:shd w:val="clear" w:color="000000" w:fill="F2DCDB"/>
            <w:noWrap/>
            <w:vAlign w:val="bottom"/>
            <w:hideMark/>
          </w:tcPr>
          <w:p w:rsidR="001A051D" w:rsidRDefault="001A051D" w:rsidP="001A051D">
            <w:pPr>
              <w:spacing w:after="0" w:line="240" w:lineRule="auto"/>
              <w:rPr>
                <w:rFonts w:ascii="Calibri" w:eastAsia="Times New Roman" w:hAnsi="Calibri" w:cs="Times New Roman"/>
                <w:lang w:eastAsia="it-IT"/>
              </w:rPr>
            </w:pPr>
            <w:r w:rsidRPr="001A051D">
              <w:rPr>
                <w:rFonts w:ascii="Calibri" w:eastAsia="Times New Roman" w:hAnsi="Calibri" w:cs="Times New Roman"/>
                <w:lang w:eastAsia="it-IT"/>
              </w:rPr>
              <w:t>F</w:t>
            </w:r>
          </w:p>
          <w:p w:rsidR="00BE409B" w:rsidRDefault="00BE409B" w:rsidP="001A051D">
            <w:pPr>
              <w:spacing w:after="0" w:line="240" w:lineRule="auto"/>
              <w:rPr>
                <w:rFonts w:ascii="Calibri" w:eastAsia="Times New Roman" w:hAnsi="Calibri" w:cs="Times New Roman"/>
                <w:lang w:eastAsia="it-IT"/>
              </w:rPr>
            </w:pPr>
          </w:p>
          <w:p w:rsidR="00BE409B" w:rsidRPr="001A051D" w:rsidRDefault="00BE409B" w:rsidP="001A051D">
            <w:pPr>
              <w:spacing w:after="0" w:line="240" w:lineRule="auto"/>
              <w:rPr>
                <w:rFonts w:ascii="Calibri" w:eastAsia="Times New Roman" w:hAnsi="Calibri" w:cs="Times New Roman"/>
                <w:lang w:eastAsia="it-IT"/>
              </w:rPr>
            </w:pPr>
          </w:p>
        </w:tc>
        <w:tc>
          <w:tcPr>
            <w:tcW w:w="1240"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00-14</w:t>
            </w:r>
          </w:p>
        </w:tc>
        <w:tc>
          <w:tcPr>
            <w:tcW w:w="910" w:type="dxa"/>
            <w:tcBorders>
              <w:top w:val="single" w:sz="8" w:space="0" w:color="auto"/>
              <w:left w:val="single" w:sz="8" w:space="0" w:color="auto"/>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57</w:t>
            </w:r>
          </w:p>
        </w:tc>
        <w:tc>
          <w:tcPr>
            <w:tcW w:w="1010" w:type="dxa"/>
            <w:tcBorders>
              <w:top w:val="single" w:sz="8" w:space="0" w:color="auto"/>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5,31</w:t>
            </w:r>
          </w:p>
        </w:tc>
        <w:tc>
          <w:tcPr>
            <w:tcW w:w="833" w:type="dxa"/>
            <w:tcBorders>
              <w:top w:val="single" w:sz="8" w:space="0" w:color="auto"/>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50</w:t>
            </w:r>
          </w:p>
        </w:tc>
        <w:tc>
          <w:tcPr>
            <w:tcW w:w="1087" w:type="dxa"/>
            <w:tcBorders>
              <w:top w:val="single" w:sz="8" w:space="0" w:color="auto"/>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4,12</w:t>
            </w:r>
          </w:p>
        </w:tc>
        <w:tc>
          <w:tcPr>
            <w:tcW w:w="898" w:type="dxa"/>
            <w:tcBorders>
              <w:top w:val="single" w:sz="8" w:space="0" w:color="auto"/>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173</w:t>
            </w:r>
          </w:p>
        </w:tc>
        <w:tc>
          <w:tcPr>
            <w:tcW w:w="1022" w:type="dxa"/>
            <w:tcBorders>
              <w:top w:val="single" w:sz="8" w:space="0" w:color="auto"/>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6,31</w:t>
            </w:r>
          </w:p>
        </w:tc>
        <w:tc>
          <w:tcPr>
            <w:tcW w:w="962" w:type="dxa"/>
            <w:tcBorders>
              <w:top w:val="single" w:sz="8" w:space="0" w:color="auto"/>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280</w:t>
            </w:r>
          </w:p>
        </w:tc>
        <w:tc>
          <w:tcPr>
            <w:tcW w:w="958" w:type="dxa"/>
            <w:tcBorders>
              <w:top w:val="single" w:sz="8" w:space="0" w:color="auto"/>
              <w:left w:val="nil"/>
              <w:bottom w:val="nil"/>
              <w:right w:val="single" w:sz="8" w:space="0" w:color="auto"/>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5,57</w:t>
            </w:r>
          </w:p>
        </w:tc>
      </w:tr>
      <w:tr w:rsidR="00BE409B" w:rsidRPr="001A051D" w:rsidTr="00BE409B">
        <w:trPr>
          <w:trHeight w:val="300"/>
        </w:trPr>
        <w:tc>
          <w:tcPr>
            <w:tcW w:w="700" w:type="dxa"/>
            <w:vMerge/>
            <w:tcBorders>
              <w:top w:val="nil"/>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lang w:eastAsia="it-IT"/>
              </w:rPr>
            </w:pPr>
          </w:p>
        </w:tc>
        <w:tc>
          <w:tcPr>
            <w:tcW w:w="1240"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15-29</w:t>
            </w:r>
          </w:p>
        </w:tc>
        <w:tc>
          <w:tcPr>
            <w:tcW w:w="910" w:type="dxa"/>
            <w:tcBorders>
              <w:top w:val="nil"/>
              <w:left w:val="single" w:sz="8" w:space="0" w:color="auto"/>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71</w:t>
            </w:r>
          </w:p>
        </w:tc>
        <w:tc>
          <w:tcPr>
            <w:tcW w:w="1010"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6,15</w:t>
            </w:r>
          </w:p>
        </w:tc>
        <w:tc>
          <w:tcPr>
            <w:tcW w:w="833"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61</w:t>
            </w:r>
          </w:p>
        </w:tc>
        <w:tc>
          <w:tcPr>
            <w:tcW w:w="1087"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4,59</w:t>
            </w:r>
          </w:p>
        </w:tc>
        <w:tc>
          <w:tcPr>
            <w:tcW w:w="898"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162</w:t>
            </w:r>
          </w:p>
        </w:tc>
        <w:tc>
          <w:tcPr>
            <w:tcW w:w="1022"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5,89</w:t>
            </w:r>
          </w:p>
        </w:tc>
        <w:tc>
          <w:tcPr>
            <w:tcW w:w="962"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294</w:t>
            </w:r>
          </w:p>
        </w:tc>
        <w:tc>
          <w:tcPr>
            <w:tcW w:w="958" w:type="dxa"/>
            <w:tcBorders>
              <w:top w:val="nil"/>
              <w:left w:val="nil"/>
              <w:bottom w:val="nil"/>
              <w:right w:val="single" w:sz="8" w:space="0" w:color="auto"/>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5,62</w:t>
            </w:r>
          </w:p>
        </w:tc>
      </w:tr>
      <w:tr w:rsidR="00BE409B" w:rsidRPr="001A051D" w:rsidTr="00BE409B">
        <w:trPr>
          <w:trHeight w:val="300"/>
        </w:trPr>
        <w:tc>
          <w:tcPr>
            <w:tcW w:w="700" w:type="dxa"/>
            <w:vMerge/>
            <w:tcBorders>
              <w:top w:val="nil"/>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lang w:eastAsia="it-IT"/>
              </w:rPr>
            </w:pPr>
          </w:p>
        </w:tc>
        <w:tc>
          <w:tcPr>
            <w:tcW w:w="1240"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30-64</w:t>
            </w:r>
          </w:p>
        </w:tc>
        <w:tc>
          <w:tcPr>
            <w:tcW w:w="910" w:type="dxa"/>
            <w:tcBorders>
              <w:top w:val="nil"/>
              <w:left w:val="single" w:sz="8" w:space="0" w:color="auto"/>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149</w:t>
            </w:r>
          </w:p>
        </w:tc>
        <w:tc>
          <w:tcPr>
            <w:tcW w:w="1010"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3,66</w:t>
            </w:r>
          </w:p>
        </w:tc>
        <w:tc>
          <w:tcPr>
            <w:tcW w:w="833"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158</w:t>
            </w:r>
          </w:p>
        </w:tc>
        <w:tc>
          <w:tcPr>
            <w:tcW w:w="1087"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3,33</w:t>
            </w:r>
          </w:p>
        </w:tc>
        <w:tc>
          <w:tcPr>
            <w:tcW w:w="898"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362</w:t>
            </w:r>
          </w:p>
        </w:tc>
        <w:tc>
          <w:tcPr>
            <w:tcW w:w="1022"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3,55</w:t>
            </w:r>
          </w:p>
        </w:tc>
        <w:tc>
          <w:tcPr>
            <w:tcW w:w="962"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673</w:t>
            </w:r>
          </w:p>
        </w:tc>
        <w:tc>
          <w:tcPr>
            <w:tcW w:w="958" w:type="dxa"/>
            <w:tcBorders>
              <w:top w:val="nil"/>
              <w:left w:val="nil"/>
              <w:bottom w:val="nil"/>
              <w:right w:val="single" w:sz="8" w:space="0" w:color="auto"/>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3,54</w:t>
            </w:r>
          </w:p>
        </w:tc>
      </w:tr>
      <w:tr w:rsidR="00BE409B" w:rsidRPr="001A051D" w:rsidTr="00BE409B">
        <w:trPr>
          <w:trHeight w:val="300"/>
        </w:trPr>
        <w:tc>
          <w:tcPr>
            <w:tcW w:w="700" w:type="dxa"/>
            <w:vMerge/>
            <w:tcBorders>
              <w:top w:val="nil"/>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lang w:eastAsia="it-IT"/>
              </w:rPr>
            </w:pPr>
          </w:p>
        </w:tc>
        <w:tc>
          <w:tcPr>
            <w:tcW w:w="1240"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65-74</w:t>
            </w:r>
          </w:p>
        </w:tc>
        <w:tc>
          <w:tcPr>
            <w:tcW w:w="910" w:type="dxa"/>
            <w:tcBorders>
              <w:top w:val="nil"/>
              <w:left w:val="single" w:sz="8" w:space="0" w:color="auto"/>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15</w:t>
            </w:r>
          </w:p>
        </w:tc>
        <w:tc>
          <w:tcPr>
            <w:tcW w:w="1010"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1,64</w:t>
            </w:r>
          </w:p>
        </w:tc>
        <w:tc>
          <w:tcPr>
            <w:tcW w:w="833"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14</w:t>
            </w:r>
          </w:p>
        </w:tc>
        <w:tc>
          <w:tcPr>
            <w:tcW w:w="1087"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1,15</w:t>
            </w:r>
          </w:p>
        </w:tc>
        <w:tc>
          <w:tcPr>
            <w:tcW w:w="898"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44</w:t>
            </w:r>
          </w:p>
        </w:tc>
        <w:tc>
          <w:tcPr>
            <w:tcW w:w="1022"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1,83</w:t>
            </w:r>
          </w:p>
        </w:tc>
        <w:tc>
          <w:tcPr>
            <w:tcW w:w="962" w:type="dxa"/>
            <w:tcBorders>
              <w:top w:val="nil"/>
              <w:left w:val="nil"/>
              <w:bottom w:val="nil"/>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73</w:t>
            </w:r>
          </w:p>
        </w:tc>
        <w:tc>
          <w:tcPr>
            <w:tcW w:w="958" w:type="dxa"/>
            <w:tcBorders>
              <w:top w:val="nil"/>
              <w:left w:val="nil"/>
              <w:bottom w:val="nil"/>
              <w:right w:val="single" w:sz="8" w:space="0" w:color="auto"/>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1,61</w:t>
            </w:r>
          </w:p>
        </w:tc>
      </w:tr>
      <w:tr w:rsidR="00BE409B" w:rsidRPr="001A051D" w:rsidTr="00BE409B">
        <w:trPr>
          <w:trHeight w:val="315"/>
        </w:trPr>
        <w:tc>
          <w:tcPr>
            <w:tcW w:w="700" w:type="dxa"/>
            <w:vMerge/>
            <w:tcBorders>
              <w:top w:val="nil"/>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lang w:eastAsia="it-IT"/>
              </w:rPr>
            </w:pPr>
          </w:p>
        </w:tc>
        <w:tc>
          <w:tcPr>
            <w:tcW w:w="1240" w:type="dxa"/>
            <w:tcBorders>
              <w:top w:val="nil"/>
              <w:left w:val="nil"/>
              <w:bottom w:val="single" w:sz="8" w:space="0" w:color="auto"/>
              <w:right w:val="nil"/>
            </w:tcBorders>
            <w:shd w:val="clear" w:color="000000" w:fill="F2DCDB"/>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75+</w:t>
            </w:r>
          </w:p>
        </w:tc>
        <w:tc>
          <w:tcPr>
            <w:tcW w:w="910" w:type="dxa"/>
            <w:tcBorders>
              <w:top w:val="nil"/>
              <w:left w:val="single" w:sz="8" w:space="0" w:color="auto"/>
              <w:bottom w:val="single" w:sz="8" w:space="0" w:color="auto"/>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9</w:t>
            </w:r>
          </w:p>
        </w:tc>
        <w:tc>
          <w:tcPr>
            <w:tcW w:w="1010" w:type="dxa"/>
            <w:tcBorders>
              <w:top w:val="nil"/>
              <w:left w:val="nil"/>
              <w:bottom w:val="single" w:sz="8" w:space="0" w:color="auto"/>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0,81</w:t>
            </w:r>
          </w:p>
        </w:tc>
        <w:tc>
          <w:tcPr>
            <w:tcW w:w="833" w:type="dxa"/>
            <w:tcBorders>
              <w:top w:val="nil"/>
              <w:left w:val="nil"/>
              <w:bottom w:val="single" w:sz="8" w:space="0" w:color="auto"/>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w:t>
            </w:r>
          </w:p>
        </w:tc>
        <w:tc>
          <w:tcPr>
            <w:tcW w:w="1087" w:type="dxa"/>
            <w:tcBorders>
              <w:top w:val="nil"/>
              <w:left w:val="nil"/>
              <w:bottom w:val="single" w:sz="8" w:space="0" w:color="auto"/>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0,17</w:t>
            </w:r>
          </w:p>
        </w:tc>
        <w:tc>
          <w:tcPr>
            <w:tcW w:w="898" w:type="dxa"/>
            <w:tcBorders>
              <w:top w:val="nil"/>
              <w:left w:val="nil"/>
              <w:bottom w:val="single" w:sz="8" w:space="0" w:color="auto"/>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17</w:t>
            </w:r>
          </w:p>
        </w:tc>
        <w:tc>
          <w:tcPr>
            <w:tcW w:w="1022" w:type="dxa"/>
            <w:tcBorders>
              <w:top w:val="nil"/>
              <w:left w:val="nil"/>
              <w:bottom w:val="single" w:sz="8" w:space="0" w:color="auto"/>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0,51</w:t>
            </w:r>
          </w:p>
        </w:tc>
        <w:tc>
          <w:tcPr>
            <w:tcW w:w="962" w:type="dxa"/>
            <w:tcBorders>
              <w:top w:val="nil"/>
              <w:left w:val="nil"/>
              <w:bottom w:val="single" w:sz="8" w:space="0" w:color="auto"/>
              <w:right w:val="nil"/>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29</w:t>
            </w:r>
          </w:p>
        </w:tc>
        <w:tc>
          <w:tcPr>
            <w:tcW w:w="958" w:type="dxa"/>
            <w:tcBorders>
              <w:top w:val="nil"/>
              <w:left w:val="nil"/>
              <w:bottom w:val="single" w:sz="8" w:space="0" w:color="auto"/>
              <w:right w:val="single" w:sz="8" w:space="0" w:color="auto"/>
            </w:tcBorders>
            <w:shd w:val="clear" w:color="000000" w:fill="F2DCDB"/>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0,46</w:t>
            </w:r>
          </w:p>
        </w:tc>
      </w:tr>
      <w:tr w:rsidR="00BE409B" w:rsidRPr="001A051D" w:rsidTr="00BE409B">
        <w:trPr>
          <w:trHeight w:val="300"/>
        </w:trPr>
        <w:tc>
          <w:tcPr>
            <w:tcW w:w="700" w:type="dxa"/>
            <w:vMerge w:val="restart"/>
            <w:tcBorders>
              <w:top w:val="nil"/>
              <w:left w:val="single" w:sz="4" w:space="0" w:color="auto"/>
              <w:bottom w:val="single" w:sz="4" w:space="0" w:color="000000"/>
              <w:right w:val="single" w:sz="4" w:space="0" w:color="auto"/>
            </w:tcBorders>
            <w:shd w:val="clear" w:color="000000" w:fill="DCE6F1"/>
            <w:noWrap/>
            <w:vAlign w:val="bottom"/>
            <w:hideMark/>
          </w:tcPr>
          <w:p w:rsidR="001A051D" w:rsidRDefault="001A051D" w:rsidP="001A051D">
            <w:pPr>
              <w:spacing w:after="0" w:line="240" w:lineRule="auto"/>
              <w:rPr>
                <w:rFonts w:ascii="Calibri" w:eastAsia="Times New Roman" w:hAnsi="Calibri" w:cs="Times New Roman"/>
                <w:lang w:eastAsia="it-IT"/>
              </w:rPr>
            </w:pPr>
            <w:r w:rsidRPr="001A051D">
              <w:rPr>
                <w:rFonts w:ascii="Calibri" w:eastAsia="Times New Roman" w:hAnsi="Calibri" w:cs="Times New Roman"/>
                <w:lang w:eastAsia="it-IT"/>
              </w:rPr>
              <w:t>M</w:t>
            </w:r>
          </w:p>
          <w:p w:rsidR="00BE409B" w:rsidRDefault="00BE409B" w:rsidP="001A051D">
            <w:pPr>
              <w:spacing w:after="0" w:line="240" w:lineRule="auto"/>
              <w:rPr>
                <w:rFonts w:ascii="Calibri" w:eastAsia="Times New Roman" w:hAnsi="Calibri" w:cs="Times New Roman"/>
                <w:lang w:eastAsia="it-IT"/>
              </w:rPr>
            </w:pPr>
          </w:p>
          <w:p w:rsidR="00BE409B" w:rsidRPr="001A051D" w:rsidRDefault="00BE409B" w:rsidP="001A051D">
            <w:pPr>
              <w:spacing w:after="0" w:line="240" w:lineRule="auto"/>
              <w:rPr>
                <w:rFonts w:ascii="Calibri" w:eastAsia="Times New Roman" w:hAnsi="Calibri" w:cs="Times New Roman"/>
                <w:lang w:eastAsia="it-IT"/>
              </w:rPr>
            </w:pPr>
          </w:p>
        </w:tc>
        <w:tc>
          <w:tcPr>
            <w:tcW w:w="1240"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00-14</w:t>
            </w:r>
          </w:p>
        </w:tc>
        <w:tc>
          <w:tcPr>
            <w:tcW w:w="910" w:type="dxa"/>
            <w:tcBorders>
              <w:top w:val="nil"/>
              <w:left w:val="single" w:sz="8" w:space="0" w:color="auto"/>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34</w:t>
            </w:r>
          </w:p>
        </w:tc>
        <w:tc>
          <w:tcPr>
            <w:tcW w:w="1010"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2,91</w:t>
            </w:r>
          </w:p>
        </w:tc>
        <w:tc>
          <w:tcPr>
            <w:tcW w:w="833"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24</w:t>
            </w:r>
          </w:p>
        </w:tc>
        <w:tc>
          <w:tcPr>
            <w:tcW w:w="1087"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1,82</w:t>
            </w:r>
          </w:p>
        </w:tc>
        <w:tc>
          <w:tcPr>
            <w:tcW w:w="898"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89</w:t>
            </w:r>
          </w:p>
        </w:tc>
        <w:tc>
          <w:tcPr>
            <w:tcW w:w="1022"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3,01</w:t>
            </w:r>
          </w:p>
        </w:tc>
        <w:tc>
          <w:tcPr>
            <w:tcW w:w="962"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147</w:t>
            </w:r>
          </w:p>
        </w:tc>
        <w:tc>
          <w:tcPr>
            <w:tcW w:w="958" w:type="dxa"/>
            <w:tcBorders>
              <w:top w:val="nil"/>
              <w:left w:val="nil"/>
              <w:bottom w:val="nil"/>
              <w:right w:val="single" w:sz="8" w:space="0" w:color="auto"/>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2,70</w:t>
            </w:r>
          </w:p>
        </w:tc>
      </w:tr>
      <w:tr w:rsidR="00BE409B" w:rsidRPr="001A051D" w:rsidTr="00BE409B">
        <w:trPr>
          <w:trHeight w:val="300"/>
        </w:trPr>
        <w:tc>
          <w:tcPr>
            <w:tcW w:w="700" w:type="dxa"/>
            <w:vMerge/>
            <w:tcBorders>
              <w:top w:val="nil"/>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lang w:eastAsia="it-IT"/>
              </w:rPr>
            </w:pPr>
          </w:p>
        </w:tc>
        <w:tc>
          <w:tcPr>
            <w:tcW w:w="1240"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15-29</w:t>
            </w:r>
          </w:p>
        </w:tc>
        <w:tc>
          <w:tcPr>
            <w:tcW w:w="910" w:type="dxa"/>
            <w:tcBorders>
              <w:top w:val="nil"/>
              <w:left w:val="single" w:sz="8" w:space="0" w:color="auto"/>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45</w:t>
            </w:r>
          </w:p>
        </w:tc>
        <w:tc>
          <w:tcPr>
            <w:tcW w:w="1010"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3,82</w:t>
            </w:r>
          </w:p>
        </w:tc>
        <w:tc>
          <w:tcPr>
            <w:tcW w:w="833"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31</w:t>
            </w:r>
          </w:p>
        </w:tc>
        <w:tc>
          <w:tcPr>
            <w:tcW w:w="1087"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2,25</w:t>
            </w:r>
          </w:p>
        </w:tc>
        <w:tc>
          <w:tcPr>
            <w:tcW w:w="898"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115</w:t>
            </w:r>
          </w:p>
        </w:tc>
        <w:tc>
          <w:tcPr>
            <w:tcW w:w="1022"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4,00</w:t>
            </w:r>
          </w:p>
        </w:tc>
        <w:tc>
          <w:tcPr>
            <w:tcW w:w="962"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191</w:t>
            </w:r>
          </w:p>
        </w:tc>
        <w:tc>
          <w:tcPr>
            <w:tcW w:w="958" w:type="dxa"/>
            <w:tcBorders>
              <w:top w:val="nil"/>
              <w:left w:val="nil"/>
              <w:bottom w:val="nil"/>
              <w:right w:val="single" w:sz="8" w:space="0" w:color="auto"/>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3,52</w:t>
            </w:r>
          </w:p>
        </w:tc>
      </w:tr>
      <w:tr w:rsidR="00BE409B" w:rsidRPr="001A051D" w:rsidTr="00BE409B">
        <w:trPr>
          <w:trHeight w:val="300"/>
        </w:trPr>
        <w:tc>
          <w:tcPr>
            <w:tcW w:w="700" w:type="dxa"/>
            <w:vMerge/>
            <w:tcBorders>
              <w:top w:val="nil"/>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lang w:eastAsia="it-IT"/>
              </w:rPr>
            </w:pPr>
          </w:p>
        </w:tc>
        <w:tc>
          <w:tcPr>
            <w:tcW w:w="1240"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30-64</w:t>
            </w:r>
          </w:p>
        </w:tc>
        <w:tc>
          <w:tcPr>
            <w:tcW w:w="910" w:type="dxa"/>
            <w:tcBorders>
              <w:top w:val="nil"/>
              <w:left w:val="single" w:sz="8" w:space="0" w:color="auto"/>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55</w:t>
            </w:r>
          </w:p>
        </w:tc>
        <w:tc>
          <w:tcPr>
            <w:tcW w:w="1010"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1,32</w:t>
            </w:r>
          </w:p>
        </w:tc>
        <w:tc>
          <w:tcPr>
            <w:tcW w:w="833"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49</w:t>
            </w:r>
          </w:p>
        </w:tc>
        <w:tc>
          <w:tcPr>
            <w:tcW w:w="1087"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1,00</w:t>
            </w:r>
          </w:p>
        </w:tc>
        <w:tc>
          <w:tcPr>
            <w:tcW w:w="898"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136</w:t>
            </w:r>
          </w:p>
        </w:tc>
        <w:tc>
          <w:tcPr>
            <w:tcW w:w="1022"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1,32</w:t>
            </w:r>
          </w:p>
        </w:tc>
        <w:tc>
          <w:tcPr>
            <w:tcW w:w="962"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240</w:t>
            </w:r>
          </w:p>
        </w:tc>
        <w:tc>
          <w:tcPr>
            <w:tcW w:w="958" w:type="dxa"/>
            <w:tcBorders>
              <w:top w:val="nil"/>
              <w:left w:val="nil"/>
              <w:bottom w:val="nil"/>
              <w:right w:val="single" w:sz="8" w:space="0" w:color="auto"/>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1,24</w:t>
            </w:r>
          </w:p>
        </w:tc>
      </w:tr>
      <w:tr w:rsidR="00BE409B" w:rsidRPr="001A051D" w:rsidTr="00BE409B">
        <w:trPr>
          <w:trHeight w:val="300"/>
        </w:trPr>
        <w:tc>
          <w:tcPr>
            <w:tcW w:w="700" w:type="dxa"/>
            <w:vMerge/>
            <w:tcBorders>
              <w:top w:val="nil"/>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lang w:eastAsia="it-IT"/>
              </w:rPr>
            </w:pPr>
          </w:p>
        </w:tc>
        <w:tc>
          <w:tcPr>
            <w:tcW w:w="1240"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65-74</w:t>
            </w:r>
          </w:p>
        </w:tc>
        <w:tc>
          <w:tcPr>
            <w:tcW w:w="910" w:type="dxa"/>
            <w:tcBorders>
              <w:top w:val="nil"/>
              <w:left w:val="single" w:sz="8" w:space="0" w:color="auto"/>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4</w:t>
            </w:r>
          </w:p>
        </w:tc>
        <w:tc>
          <w:tcPr>
            <w:tcW w:w="1010"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0,44</w:t>
            </w:r>
          </w:p>
        </w:tc>
        <w:tc>
          <w:tcPr>
            <w:tcW w:w="833"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4</w:t>
            </w:r>
          </w:p>
        </w:tc>
        <w:tc>
          <w:tcPr>
            <w:tcW w:w="1087"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0,37</w:t>
            </w:r>
          </w:p>
        </w:tc>
        <w:tc>
          <w:tcPr>
            <w:tcW w:w="898"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14</w:t>
            </w:r>
          </w:p>
        </w:tc>
        <w:tc>
          <w:tcPr>
            <w:tcW w:w="1022"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0,65</w:t>
            </w:r>
          </w:p>
        </w:tc>
        <w:tc>
          <w:tcPr>
            <w:tcW w:w="962" w:type="dxa"/>
            <w:tcBorders>
              <w:top w:val="nil"/>
              <w:left w:val="nil"/>
              <w:bottom w:val="nil"/>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22</w:t>
            </w:r>
          </w:p>
        </w:tc>
        <w:tc>
          <w:tcPr>
            <w:tcW w:w="958" w:type="dxa"/>
            <w:tcBorders>
              <w:top w:val="nil"/>
              <w:left w:val="nil"/>
              <w:bottom w:val="nil"/>
              <w:right w:val="single" w:sz="8" w:space="0" w:color="auto"/>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0,53</w:t>
            </w:r>
          </w:p>
        </w:tc>
      </w:tr>
      <w:tr w:rsidR="00BE409B" w:rsidRPr="001A051D" w:rsidTr="00BE409B">
        <w:trPr>
          <w:trHeight w:val="315"/>
        </w:trPr>
        <w:tc>
          <w:tcPr>
            <w:tcW w:w="700" w:type="dxa"/>
            <w:vMerge/>
            <w:tcBorders>
              <w:top w:val="nil"/>
              <w:left w:val="single" w:sz="4" w:space="0" w:color="auto"/>
              <w:bottom w:val="single" w:sz="4" w:space="0" w:color="000000"/>
              <w:right w:val="single" w:sz="4" w:space="0" w:color="auto"/>
            </w:tcBorders>
            <w:vAlign w:val="center"/>
            <w:hideMark/>
          </w:tcPr>
          <w:p w:rsidR="001A051D" w:rsidRPr="001A051D" w:rsidRDefault="001A051D" w:rsidP="001A051D">
            <w:pPr>
              <w:spacing w:after="0" w:line="240" w:lineRule="auto"/>
              <w:rPr>
                <w:rFonts w:ascii="Calibri" w:eastAsia="Times New Roman" w:hAnsi="Calibri" w:cs="Times New Roman"/>
                <w:lang w:eastAsia="it-IT"/>
              </w:rPr>
            </w:pPr>
          </w:p>
        </w:tc>
        <w:tc>
          <w:tcPr>
            <w:tcW w:w="1240" w:type="dxa"/>
            <w:tcBorders>
              <w:top w:val="nil"/>
              <w:left w:val="nil"/>
              <w:bottom w:val="single" w:sz="8" w:space="0" w:color="auto"/>
              <w:right w:val="nil"/>
            </w:tcBorders>
            <w:shd w:val="clear" w:color="000000" w:fill="DCE6F1"/>
            <w:noWrap/>
            <w:vAlign w:val="bottom"/>
            <w:hideMark/>
          </w:tcPr>
          <w:p w:rsidR="001A051D" w:rsidRPr="001A051D" w:rsidRDefault="001A051D" w:rsidP="001A051D">
            <w:pPr>
              <w:spacing w:after="0" w:line="240" w:lineRule="auto"/>
              <w:rPr>
                <w:rFonts w:ascii="Calibri" w:eastAsia="Times New Roman" w:hAnsi="Calibri" w:cs="Times New Roman"/>
                <w:b/>
                <w:bCs/>
                <w:lang w:eastAsia="it-IT"/>
              </w:rPr>
            </w:pPr>
            <w:r w:rsidRPr="001A051D">
              <w:rPr>
                <w:rFonts w:ascii="Calibri" w:eastAsia="Times New Roman" w:hAnsi="Calibri" w:cs="Times New Roman"/>
                <w:b/>
                <w:bCs/>
                <w:lang w:eastAsia="it-IT"/>
              </w:rPr>
              <w:t>75+</w:t>
            </w:r>
          </w:p>
        </w:tc>
        <w:tc>
          <w:tcPr>
            <w:tcW w:w="910" w:type="dxa"/>
            <w:tcBorders>
              <w:top w:val="nil"/>
              <w:left w:val="single" w:sz="8" w:space="0" w:color="auto"/>
              <w:bottom w:val="single" w:sz="8" w:space="0" w:color="auto"/>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1</w:t>
            </w:r>
          </w:p>
        </w:tc>
        <w:tc>
          <w:tcPr>
            <w:tcW w:w="1010" w:type="dxa"/>
            <w:tcBorders>
              <w:top w:val="nil"/>
              <w:left w:val="nil"/>
              <w:bottom w:val="single" w:sz="8" w:space="0" w:color="auto"/>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0,14</w:t>
            </w:r>
          </w:p>
        </w:tc>
        <w:tc>
          <w:tcPr>
            <w:tcW w:w="833" w:type="dxa"/>
            <w:tcBorders>
              <w:top w:val="nil"/>
              <w:left w:val="nil"/>
              <w:bottom w:val="single" w:sz="8" w:space="0" w:color="auto"/>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3</w:t>
            </w:r>
          </w:p>
        </w:tc>
        <w:tc>
          <w:tcPr>
            <w:tcW w:w="1087" w:type="dxa"/>
            <w:tcBorders>
              <w:top w:val="nil"/>
              <w:left w:val="nil"/>
              <w:bottom w:val="single" w:sz="8" w:space="0" w:color="auto"/>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0,29</w:t>
            </w:r>
          </w:p>
        </w:tc>
        <w:tc>
          <w:tcPr>
            <w:tcW w:w="898" w:type="dxa"/>
            <w:tcBorders>
              <w:top w:val="nil"/>
              <w:left w:val="nil"/>
              <w:bottom w:val="single" w:sz="8" w:space="0" w:color="auto"/>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5</w:t>
            </w:r>
          </w:p>
        </w:tc>
        <w:tc>
          <w:tcPr>
            <w:tcW w:w="1022" w:type="dxa"/>
            <w:tcBorders>
              <w:top w:val="nil"/>
              <w:left w:val="nil"/>
              <w:bottom w:val="single" w:sz="8" w:space="0" w:color="auto"/>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0,24</w:t>
            </w:r>
          </w:p>
        </w:tc>
        <w:tc>
          <w:tcPr>
            <w:tcW w:w="962" w:type="dxa"/>
            <w:tcBorders>
              <w:top w:val="nil"/>
              <w:left w:val="nil"/>
              <w:bottom w:val="single" w:sz="8" w:space="0" w:color="auto"/>
              <w:right w:val="nil"/>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9</w:t>
            </w:r>
          </w:p>
        </w:tc>
        <w:tc>
          <w:tcPr>
            <w:tcW w:w="958" w:type="dxa"/>
            <w:tcBorders>
              <w:top w:val="nil"/>
              <w:left w:val="nil"/>
              <w:bottom w:val="single" w:sz="8" w:space="0" w:color="auto"/>
              <w:right w:val="single" w:sz="8" w:space="0" w:color="auto"/>
            </w:tcBorders>
            <w:shd w:val="clear" w:color="000000" w:fill="DCE6F1"/>
            <w:noWrap/>
            <w:vAlign w:val="bottom"/>
            <w:hideMark/>
          </w:tcPr>
          <w:p w:rsidR="001A051D" w:rsidRPr="001A051D" w:rsidRDefault="001A051D" w:rsidP="001A051D">
            <w:pPr>
              <w:spacing w:after="0" w:line="240" w:lineRule="auto"/>
              <w:jc w:val="right"/>
              <w:rPr>
                <w:rFonts w:ascii="Calibri" w:eastAsia="Times New Roman" w:hAnsi="Calibri" w:cs="Times New Roman"/>
                <w:lang w:eastAsia="it-IT"/>
              </w:rPr>
            </w:pPr>
            <w:r w:rsidRPr="001A051D">
              <w:rPr>
                <w:rFonts w:ascii="Calibri" w:eastAsia="Times New Roman" w:hAnsi="Calibri" w:cs="Times New Roman"/>
                <w:lang w:eastAsia="it-IT"/>
              </w:rPr>
              <w:t>0,23</w:t>
            </w:r>
          </w:p>
        </w:tc>
      </w:tr>
    </w:tbl>
    <w:p w:rsidR="005B358F" w:rsidRDefault="005B358F" w:rsidP="004F32F9">
      <w:pPr>
        <w:pStyle w:val="Nessunaspaziatura"/>
        <w:jc w:val="both"/>
        <w:rPr>
          <w:b/>
        </w:rPr>
      </w:pPr>
    </w:p>
    <w:p w:rsidR="001A051D" w:rsidRDefault="001A051D" w:rsidP="004F32F9">
      <w:pPr>
        <w:pStyle w:val="Nessunaspaziatura"/>
        <w:jc w:val="both"/>
        <w:rPr>
          <w:b/>
        </w:rPr>
      </w:pPr>
    </w:p>
    <w:p w:rsidR="003079E2" w:rsidRDefault="001A051D" w:rsidP="004D2786">
      <w:pPr>
        <w:pStyle w:val="Nessunaspaziatura"/>
        <w:jc w:val="both"/>
        <w:rPr>
          <w:b/>
        </w:rPr>
      </w:pPr>
      <w:r>
        <w:rPr>
          <w:noProof/>
          <w:lang w:eastAsia="it-IT"/>
        </w:rPr>
        <w:drawing>
          <wp:inline distT="0" distB="0" distL="0" distR="0" wp14:anchorId="54A52C0D" wp14:editId="5F97CA35">
            <wp:extent cx="6162675" cy="2895600"/>
            <wp:effectExtent l="0" t="0" r="9525" b="19050"/>
            <wp:docPr id="26" name="Gra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3079E2" w:rsidRDefault="003079E2" w:rsidP="004D2786">
      <w:pPr>
        <w:pStyle w:val="Nessunaspaziatura"/>
        <w:jc w:val="both"/>
        <w:rPr>
          <w:b/>
        </w:rPr>
      </w:pPr>
    </w:p>
    <w:p w:rsidR="00B136B2" w:rsidRDefault="00B136B2" w:rsidP="004D2786">
      <w:pPr>
        <w:pStyle w:val="Nessunaspaziatura"/>
        <w:jc w:val="both"/>
        <w:rPr>
          <w:b/>
        </w:rPr>
      </w:pPr>
    </w:p>
    <w:p w:rsidR="007A51F1" w:rsidRDefault="00651C8D" w:rsidP="004D2786">
      <w:pPr>
        <w:pStyle w:val="Nessunaspaziatura"/>
        <w:jc w:val="both"/>
        <w:rPr>
          <w:b/>
        </w:rPr>
      </w:pPr>
      <w:r>
        <w:rPr>
          <w:b/>
        </w:rPr>
        <w:lastRenderedPageBreak/>
        <w:t>HIV</w:t>
      </w:r>
    </w:p>
    <w:p w:rsidR="00651C8D" w:rsidRDefault="00651C8D" w:rsidP="004D2786">
      <w:pPr>
        <w:pStyle w:val="Nessunaspaziatura"/>
        <w:jc w:val="both"/>
        <w:rPr>
          <w:b/>
        </w:rPr>
      </w:pPr>
    </w:p>
    <w:p w:rsidR="00342A97" w:rsidRDefault="00651C8D" w:rsidP="004D2786">
      <w:pPr>
        <w:pStyle w:val="Nessunaspaziatura"/>
        <w:jc w:val="both"/>
      </w:pPr>
      <w:r>
        <w:t xml:space="preserve"> Questa  i</w:t>
      </w:r>
      <w:r w:rsidR="00DC15BE" w:rsidRPr="00DC15BE">
        <w:t>nfezione</w:t>
      </w:r>
      <w:r>
        <w:t xml:space="preserve">, </w:t>
      </w:r>
      <w:r w:rsidR="00DC15BE">
        <w:t>mappata dalla Banca Dati Assistito dell’ATS</w:t>
      </w:r>
      <w:r>
        <w:t xml:space="preserve"> con i criteri analoghi a quelli utilizzati per le malattie cronico-degenerative, costituisce una sorta di  indicatore di esito della mancata prevenzione. Da qui l’</w:t>
      </w:r>
      <w:r w:rsidR="00342A97">
        <w:t>interesse di rapp</w:t>
      </w:r>
      <w:r>
        <w:t>resentarla</w:t>
      </w:r>
      <w:r w:rsidR="00342A97">
        <w:t>.</w:t>
      </w:r>
    </w:p>
    <w:p w:rsidR="00DC15BE" w:rsidRDefault="00DC15BE" w:rsidP="004D2786">
      <w:pPr>
        <w:pStyle w:val="Nessunaspaziatura"/>
        <w:jc w:val="both"/>
      </w:pPr>
      <w:r>
        <w:t xml:space="preserve"> Il genere maschile presenta un numero di casi e un tasso maggiore rispetto alle </w:t>
      </w:r>
      <w:r w:rsidR="00B136B2">
        <w:t>femmine in tutti gli ambiti ATS;</w:t>
      </w:r>
      <w:r>
        <w:t xml:space="preserve"> come atteso è l’età adulta quella maggiormente coinvolta, anche se non mancano casi nelle prime classi di vita, età &lt;30 anni.</w:t>
      </w:r>
    </w:p>
    <w:p w:rsidR="00DC15BE" w:rsidRDefault="00DC15BE" w:rsidP="004D2786">
      <w:pPr>
        <w:pStyle w:val="Nessunaspaziatura"/>
        <w:jc w:val="both"/>
      </w:pPr>
      <w:r>
        <w:t>I residenti di Crema e Cremona risultano maggiormente interessati da questa patologia rispetto a Mantova.</w:t>
      </w:r>
    </w:p>
    <w:p w:rsidR="00DC15BE" w:rsidRDefault="00DC15BE" w:rsidP="004D2786">
      <w:pPr>
        <w:pStyle w:val="Nessunaspaziatura"/>
        <w:jc w:val="both"/>
      </w:pPr>
    </w:p>
    <w:p w:rsidR="00DC15BE" w:rsidRPr="00DC15BE" w:rsidRDefault="00DC15BE" w:rsidP="004D2786">
      <w:pPr>
        <w:pStyle w:val="Nessunaspaziatura"/>
        <w:jc w:val="both"/>
      </w:pPr>
    </w:p>
    <w:tbl>
      <w:tblPr>
        <w:tblW w:w="9600" w:type="dxa"/>
        <w:tblInd w:w="55" w:type="dxa"/>
        <w:tblCellMar>
          <w:left w:w="70" w:type="dxa"/>
          <w:right w:w="70" w:type="dxa"/>
        </w:tblCellMar>
        <w:tblLook w:val="04A0" w:firstRow="1" w:lastRow="0" w:firstColumn="1" w:lastColumn="0" w:noHBand="0" w:noVBand="1"/>
      </w:tblPr>
      <w:tblGrid>
        <w:gridCol w:w="724"/>
        <w:gridCol w:w="1276"/>
        <w:gridCol w:w="850"/>
        <w:gridCol w:w="993"/>
        <w:gridCol w:w="850"/>
        <w:gridCol w:w="992"/>
        <w:gridCol w:w="999"/>
        <w:gridCol w:w="844"/>
        <w:gridCol w:w="942"/>
        <w:gridCol w:w="1130"/>
      </w:tblGrid>
      <w:tr w:rsidR="00A06532" w:rsidRPr="00A06532" w:rsidTr="00A06532">
        <w:trPr>
          <w:trHeight w:val="300"/>
        </w:trPr>
        <w:tc>
          <w:tcPr>
            <w:tcW w:w="724"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Sesso</w:t>
            </w:r>
          </w:p>
        </w:tc>
        <w:tc>
          <w:tcPr>
            <w:tcW w:w="1276"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Class</w:t>
            </w:r>
            <w:r>
              <w:rPr>
                <w:rFonts w:ascii="Calibri" w:eastAsia="Times New Roman" w:hAnsi="Calibri" w:cs="Times New Roman"/>
                <w:b/>
                <w:bCs/>
                <w:lang w:eastAsia="it-IT"/>
              </w:rPr>
              <w:t xml:space="preserve">i di </w:t>
            </w:r>
            <w:r w:rsidRPr="00A06532">
              <w:rPr>
                <w:rFonts w:ascii="Calibri" w:eastAsia="Times New Roman" w:hAnsi="Calibri" w:cs="Times New Roman"/>
                <w:b/>
                <w:bCs/>
                <w:lang w:eastAsia="it-IT"/>
              </w:rPr>
              <w:t>età</w:t>
            </w:r>
          </w:p>
        </w:tc>
        <w:tc>
          <w:tcPr>
            <w:tcW w:w="7600" w:type="dxa"/>
            <w:gridSpan w:val="8"/>
            <w:tcBorders>
              <w:top w:val="single" w:sz="8" w:space="0" w:color="auto"/>
              <w:left w:val="single" w:sz="8" w:space="0" w:color="auto"/>
              <w:bottom w:val="nil"/>
              <w:right w:val="single" w:sz="8" w:space="0" w:color="000000"/>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 xml:space="preserve">HIV </w:t>
            </w:r>
          </w:p>
        </w:tc>
      </w:tr>
      <w:tr w:rsidR="00A06532" w:rsidRPr="00A06532" w:rsidTr="00A06532">
        <w:trPr>
          <w:trHeight w:val="300"/>
        </w:trPr>
        <w:tc>
          <w:tcPr>
            <w:tcW w:w="724" w:type="dxa"/>
            <w:vMerge/>
            <w:tcBorders>
              <w:top w:val="single" w:sz="4" w:space="0" w:color="auto"/>
              <w:left w:val="single" w:sz="8" w:space="0" w:color="auto"/>
              <w:bottom w:val="single" w:sz="4" w:space="0" w:color="000000"/>
              <w:right w:val="single" w:sz="4" w:space="0" w:color="auto"/>
            </w:tcBorders>
            <w:vAlign w:val="center"/>
            <w:hideMark/>
          </w:tcPr>
          <w:p w:rsidR="00A06532" w:rsidRPr="00A06532" w:rsidRDefault="00A06532" w:rsidP="00A06532">
            <w:pPr>
              <w:spacing w:after="0" w:line="240" w:lineRule="auto"/>
              <w:rPr>
                <w:rFonts w:ascii="Calibri" w:eastAsia="Times New Roman" w:hAnsi="Calibri" w:cs="Times New Roman"/>
                <w:b/>
                <w:bCs/>
                <w:lang w:eastAsia="it-IT"/>
              </w:rPr>
            </w:pPr>
          </w:p>
        </w:tc>
        <w:tc>
          <w:tcPr>
            <w:tcW w:w="1276" w:type="dxa"/>
            <w:vMerge/>
            <w:tcBorders>
              <w:top w:val="single" w:sz="4" w:space="0" w:color="auto"/>
              <w:left w:val="single" w:sz="8" w:space="0" w:color="auto"/>
              <w:bottom w:val="single" w:sz="4" w:space="0" w:color="000000"/>
              <w:right w:val="single" w:sz="4" w:space="0" w:color="auto"/>
            </w:tcBorders>
            <w:vAlign w:val="center"/>
            <w:hideMark/>
          </w:tcPr>
          <w:p w:rsidR="00A06532" w:rsidRPr="00A06532" w:rsidRDefault="00A06532" w:rsidP="00A06532">
            <w:pPr>
              <w:spacing w:after="0" w:line="240" w:lineRule="auto"/>
              <w:rPr>
                <w:rFonts w:ascii="Calibri" w:eastAsia="Times New Roman" w:hAnsi="Calibri" w:cs="Times New Roman"/>
                <w:b/>
                <w:bCs/>
                <w:lang w:eastAsia="it-IT"/>
              </w:rPr>
            </w:pPr>
          </w:p>
        </w:tc>
        <w:tc>
          <w:tcPr>
            <w:tcW w:w="1843" w:type="dxa"/>
            <w:gridSpan w:val="2"/>
            <w:tcBorders>
              <w:top w:val="nil"/>
              <w:left w:val="single" w:sz="8" w:space="0" w:color="auto"/>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CREMA</w:t>
            </w:r>
          </w:p>
        </w:tc>
        <w:tc>
          <w:tcPr>
            <w:tcW w:w="1842" w:type="dxa"/>
            <w:gridSpan w:val="2"/>
            <w:tcBorders>
              <w:top w:val="nil"/>
              <w:left w:val="nil"/>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CREMONA</w:t>
            </w:r>
          </w:p>
        </w:tc>
        <w:tc>
          <w:tcPr>
            <w:tcW w:w="1843" w:type="dxa"/>
            <w:gridSpan w:val="2"/>
            <w:tcBorders>
              <w:top w:val="nil"/>
              <w:left w:val="nil"/>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MANTOVA</w:t>
            </w:r>
          </w:p>
        </w:tc>
        <w:tc>
          <w:tcPr>
            <w:tcW w:w="2072" w:type="dxa"/>
            <w:gridSpan w:val="2"/>
            <w:tcBorders>
              <w:top w:val="nil"/>
              <w:left w:val="nil"/>
              <w:bottom w:val="nil"/>
              <w:right w:val="single" w:sz="8" w:space="0" w:color="000000"/>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ATS</w:t>
            </w:r>
          </w:p>
        </w:tc>
      </w:tr>
      <w:tr w:rsidR="00A06532" w:rsidRPr="00A06532" w:rsidTr="00A06532">
        <w:trPr>
          <w:trHeight w:val="315"/>
        </w:trPr>
        <w:tc>
          <w:tcPr>
            <w:tcW w:w="724" w:type="dxa"/>
            <w:vMerge/>
            <w:tcBorders>
              <w:top w:val="single" w:sz="4" w:space="0" w:color="auto"/>
              <w:left w:val="single" w:sz="8" w:space="0" w:color="auto"/>
              <w:bottom w:val="single" w:sz="4" w:space="0" w:color="000000"/>
              <w:right w:val="single" w:sz="4" w:space="0" w:color="auto"/>
            </w:tcBorders>
            <w:vAlign w:val="center"/>
            <w:hideMark/>
          </w:tcPr>
          <w:p w:rsidR="00A06532" w:rsidRPr="00A06532" w:rsidRDefault="00A06532" w:rsidP="00A06532">
            <w:pPr>
              <w:spacing w:after="0" w:line="240" w:lineRule="auto"/>
              <w:rPr>
                <w:rFonts w:ascii="Calibri" w:eastAsia="Times New Roman" w:hAnsi="Calibri" w:cs="Times New Roman"/>
                <w:b/>
                <w:bCs/>
                <w:lang w:eastAsia="it-IT"/>
              </w:rPr>
            </w:pPr>
          </w:p>
        </w:tc>
        <w:tc>
          <w:tcPr>
            <w:tcW w:w="1276" w:type="dxa"/>
            <w:vMerge/>
            <w:tcBorders>
              <w:top w:val="single" w:sz="4" w:space="0" w:color="auto"/>
              <w:left w:val="single" w:sz="8" w:space="0" w:color="auto"/>
              <w:bottom w:val="single" w:sz="4" w:space="0" w:color="000000"/>
              <w:right w:val="single" w:sz="4" w:space="0" w:color="auto"/>
            </w:tcBorders>
            <w:vAlign w:val="center"/>
            <w:hideMark/>
          </w:tcPr>
          <w:p w:rsidR="00A06532" w:rsidRPr="00A06532" w:rsidRDefault="00A06532" w:rsidP="00A06532">
            <w:pPr>
              <w:spacing w:after="0" w:line="240" w:lineRule="auto"/>
              <w:rPr>
                <w:rFonts w:ascii="Calibri" w:eastAsia="Times New Roman" w:hAnsi="Calibri" w:cs="Times New Roman"/>
                <w:b/>
                <w:bCs/>
                <w:lang w:eastAsia="it-IT"/>
              </w:rPr>
            </w:pPr>
          </w:p>
        </w:tc>
        <w:tc>
          <w:tcPr>
            <w:tcW w:w="850" w:type="dxa"/>
            <w:tcBorders>
              <w:top w:val="nil"/>
              <w:left w:val="single" w:sz="8" w:space="0" w:color="auto"/>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N</w:t>
            </w:r>
            <w:r>
              <w:rPr>
                <w:rFonts w:ascii="Calibri" w:eastAsia="Times New Roman" w:hAnsi="Calibri" w:cs="Times New Roman"/>
                <w:b/>
                <w:bCs/>
                <w:lang w:eastAsia="it-IT"/>
              </w:rPr>
              <w:t xml:space="preserve"> casi</w:t>
            </w:r>
          </w:p>
        </w:tc>
        <w:tc>
          <w:tcPr>
            <w:tcW w:w="993" w:type="dxa"/>
            <w:tcBorders>
              <w:top w:val="nil"/>
              <w:left w:val="nil"/>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TASSO</w:t>
            </w:r>
          </w:p>
        </w:tc>
        <w:tc>
          <w:tcPr>
            <w:tcW w:w="850" w:type="dxa"/>
            <w:tcBorders>
              <w:top w:val="nil"/>
              <w:left w:val="nil"/>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N</w:t>
            </w:r>
            <w:r>
              <w:rPr>
                <w:rFonts w:ascii="Calibri" w:eastAsia="Times New Roman" w:hAnsi="Calibri" w:cs="Times New Roman"/>
                <w:b/>
                <w:bCs/>
                <w:lang w:eastAsia="it-IT"/>
              </w:rPr>
              <w:t xml:space="preserve"> casi</w:t>
            </w:r>
          </w:p>
        </w:tc>
        <w:tc>
          <w:tcPr>
            <w:tcW w:w="992" w:type="dxa"/>
            <w:tcBorders>
              <w:top w:val="nil"/>
              <w:left w:val="nil"/>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TASSO</w:t>
            </w:r>
          </w:p>
        </w:tc>
        <w:tc>
          <w:tcPr>
            <w:tcW w:w="999" w:type="dxa"/>
            <w:tcBorders>
              <w:top w:val="nil"/>
              <w:left w:val="nil"/>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N</w:t>
            </w:r>
            <w:r>
              <w:rPr>
                <w:rFonts w:ascii="Calibri" w:eastAsia="Times New Roman" w:hAnsi="Calibri" w:cs="Times New Roman"/>
                <w:b/>
                <w:bCs/>
                <w:lang w:eastAsia="it-IT"/>
              </w:rPr>
              <w:t xml:space="preserve"> casi</w:t>
            </w:r>
          </w:p>
        </w:tc>
        <w:tc>
          <w:tcPr>
            <w:tcW w:w="844" w:type="dxa"/>
            <w:tcBorders>
              <w:top w:val="nil"/>
              <w:left w:val="nil"/>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TASSO</w:t>
            </w:r>
          </w:p>
        </w:tc>
        <w:tc>
          <w:tcPr>
            <w:tcW w:w="942" w:type="dxa"/>
            <w:tcBorders>
              <w:top w:val="nil"/>
              <w:left w:val="nil"/>
              <w:bottom w:val="nil"/>
              <w:right w:val="nil"/>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N</w:t>
            </w:r>
            <w:r>
              <w:rPr>
                <w:rFonts w:ascii="Calibri" w:eastAsia="Times New Roman" w:hAnsi="Calibri" w:cs="Times New Roman"/>
                <w:b/>
                <w:bCs/>
                <w:lang w:eastAsia="it-IT"/>
              </w:rPr>
              <w:t xml:space="preserve"> casi </w:t>
            </w:r>
          </w:p>
        </w:tc>
        <w:tc>
          <w:tcPr>
            <w:tcW w:w="1130" w:type="dxa"/>
            <w:tcBorders>
              <w:top w:val="nil"/>
              <w:left w:val="nil"/>
              <w:bottom w:val="nil"/>
              <w:right w:val="single" w:sz="8" w:space="0" w:color="auto"/>
            </w:tcBorders>
            <w:shd w:val="clear" w:color="000000" w:fill="E4DFEC"/>
            <w:noWrap/>
            <w:vAlign w:val="bottom"/>
            <w:hideMark/>
          </w:tcPr>
          <w:p w:rsidR="00A06532" w:rsidRPr="00A06532" w:rsidRDefault="00A06532" w:rsidP="00A06532">
            <w:pPr>
              <w:spacing w:after="0" w:line="240" w:lineRule="auto"/>
              <w:jc w:val="center"/>
              <w:rPr>
                <w:rFonts w:ascii="Calibri" w:eastAsia="Times New Roman" w:hAnsi="Calibri" w:cs="Times New Roman"/>
                <w:b/>
                <w:bCs/>
                <w:lang w:eastAsia="it-IT"/>
              </w:rPr>
            </w:pPr>
            <w:r w:rsidRPr="00A06532">
              <w:rPr>
                <w:rFonts w:ascii="Calibri" w:eastAsia="Times New Roman" w:hAnsi="Calibri" w:cs="Times New Roman"/>
                <w:b/>
                <w:bCs/>
                <w:lang w:eastAsia="it-IT"/>
              </w:rPr>
              <w:t>TASSO</w:t>
            </w:r>
          </w:p>
        </w:tc>
      </w:tr>
      <w:tr w:rsidR="00A06532" w:rsidRPr="00A06532" w:rsidTr="00A06532">
        <w:trPr>
          <w:trHeight w:val="300"/>
        </w:trPr>
        <w:tc>
          <w:tcPr>
            <w:tcW w:w="724" w:type="dxa"/>
            <w:vMerge w:val="restart"/>
            <w:tcBorders>
              <w:top w:val="nil"/>
              <w:left w:val="single" w:sz="4" w:space="0" w:color="auto"/>
              <w:bottom w:val="nil"/>
              <w:right w:val="single" w:sz="8" w:space="0" w:color="auto"/>
            </w:tcBorders>
            <w:shd w:val="clear" w:color="000000" w:fill="F2DCDB"/>
            <w:noWrap/>
            <w:vAlign w:val="bottom"/>
            <w:hideMark/>
          </w:tcPr>
          <w:p w:rsidR="00A06532" w:rsidRDefault="00A06532" w:rsidP="00A06532">
            <w:pPr>
              <w:spacing w:after="0" w:line="240" w:lineRule="auto"/>
              <w:rPr>
                <w:rFonts w:ascii="Calibri" w:eastAsia="Times New Roman" w:hAnsi="Calibri" w:cs="Times New Roman"/>
                <w:lang w:eastAsia="it-IT"/>
              </w:rPr>
            </w:pPr>
            <w:r w:rsidRPr="00A06532">
              <w:rPr>
                <w:rFonts w:ascii="Calibri" w:eastAsia="Times New Roman" w:hAnsi="Calibri" w:cs="Times New Roman"/>
                <w:lang w:eastAsia="it-IT"/>
              </w:rPr>
              <w:t>F</w:t>
            </w:r>
          </w:p>
          <w:p w:rsidR="00A06532" w:rsidRDefault="00A06532" w:rsidP="00A06532">
            <w:pPr>
              <w:spacing w:after="0" w:line="240" w:lineRule="auto"/>
              <w:rPr>
                <w:rFonts w:ascii="Calibri" w:eastAsia="Times New Roman" w:hAnsi="Calibri" w:cs="Times New Roman"/>
                <w:lang w:eastAsia="it-IT"/>
              </w:rPr>
            </w:pPr>
          </w:p>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00-14</w:t>
            </w:r>
          </w:p>
        </w:tc>
        <w:tc>
          <w:tcPr>
            <w:tcW w:w="850" w:type="dxa"/>
            <w:tcBorders>
              <w:top w:val="single" w:sz="8" w:space="0" w:color="auto"/>
              <w:left w:val="single" w:sz="8" w:space="0" w:color="auto"/>
              <w:bottom w:val="nil"/>
              <w:right w:val="nil"/>
            </w:tcBorders>
            <w:shd w:val="clear" w:color="000000" w:fill="F2DCDB"/>
            <w:vAlign w:val="bottom"/>
            <w:hideMark/>
          </w:tcPr>
          <w:p w:rsidR="00A06532" w:rsidRPr="00A06532" w:rsidRDefault="00A06532" w:rsidP="00A06532">
            <w:pPr>
              <w:spacing w:after="0" w:line="240" w:lineRule="auto"/>
              <w:jc w:val="right"/>
              <w:rPr>
                <w:rFonts w:ascii="Calibri" w:eastAsia="Times New Roman" w:hAnsi="Calibri" w:cs="Times New Roman"/>
                <w:color w:val="000000"/>
                <w:lang w:eastAsia="it-IT"/>
              </w:rPr>
            </w:pPr>
            <w:r w:rsidRPr="00A06532">
              <w:rPr>
                <w:rFonts w:ascii="Calibri" w:eastAsia="Times New Roman" w:hAnsi="Calibri" w:cs="Times New Roman"/>
                <w:color w:val="000000"/>
                <w:lang w:eastAsia="it-IT"/>
              </w:rPr>
              <w:t>2</w:t>
            </w:r>
          </w:p>
        </w:tc>
        <w:tc>
          <w:tcPr>
            <w:tcW w:w="993" w:type="dxa"/>
            <w:tcBorders>
              <w:top w:val="single" w:sz="8" w:space="0" w:color="auto"/>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0,19</w:t>
            </w:r>
          </w:p>
        </w:tc>
        <w:tc>
          <w:tcPr>
            <w:tcW w:w="850" w:type="dxa"/>
            <w:tcBorders>
              <w:top w:val="single" w:sz="8" w:space="0" w:color="auto"/>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w:t>
            </w:r>
          </w:p>
        </w:tc>
        <w:tc>
          <w:tcPr>
            <w:tcW w:w="992" w:type="dxa"/>
            <w:tcBorders>
              <w:top w:val="single" w:sz="8" w:space="0" w:color="auto"/>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0,00</w:t>
            </w:r>
          </w:p>
        </w:tc>
        <w:tc>
          <w:tcPr>
            <w:tcW w:w="999" w:type="dxa"/>
            <w:tcBorders>
              <w:top w:val="single" w:sz="8" w:space="0" w:color="auto"/>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w:t>
            </w:r>
          </w:p>
        </w:tc>
        <w:tc>
          <w:tcPr>
            <w:tcW w:w="844" w:type="dxa"/>
            <w:tcBorders>
              <w:top w:val="single" w:sz="8" w:space="0" w:color="auto"/>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0,04</w:t>
            </w:r>
          </w:p>
        </w:tc>
        <w:tc>
          <w:tcPr>
            <w:tcW w:w="942" w:type="dxa"/>
            <w:tcBorders>
              <w:top w:val="single" w:sz="8" w:space="0" w:color="auto"/>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3</w:t>
            </w:r>
          </w:p>
        </w:tc>
        <w:tc>
          <w:tcPr>
            <w:tcW w:w="1130" w:type="dxa"/>
            <w:tcBorders>
              <w:top w:val="single" w:sz="8" w:space="0" w:color="auto"/>
              <w:left w:val="nil"/>
              <w:bottom w:val="nil"/>
              <w:right w:val="single" w:sz="8" w:space="0" w:color="auto"/>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0,06</w:t>
            </w:r>
          </w:p>
        </w:tc>
      </w:tr>
      <w:tr w:rsidR="00A06532" w:rsidRPr="00A06532" w:rsidTr="00A06532">
        <w:trPr>
          <w:trHeight w:val="300"/>
        </w:trPr>
        <w:tc>
          <w:tcPr>
            <w:tcW w:w="724" w:type="dxa"/>
            <w:vMerge/>
            <w:tcBorders>
              <w:top w:val="nil"/>
              <w:left w:val="single" w:sz="4" w:space="0" w:color="auto"/>
              <w:bottom w:val="nil"/>
              <w:right w:val="single" w:sz="8" w:space="0" w:color="auto"/>
            </w:tcBorders>
            <w:vAlign w:val="center"/>
            <w:hideMark/>
          </w:tcPr>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15-29</w:t>
            </w:r>
          </w:p>
        </w:tc>
        <w:tc>
          <w:tcPr>
            <w:tcW w:w="850" w:type="dxa"/>
            <w:tcBorders>
              <w:top w:val="nil"/>
              <w:left w:val="single" w:sz="8" w:space="0" w:color="auto"/>
              <w:bottom w:val="nil"/>
              <w:right w:val="nil"/>
            </w:tcBorders>
            <w:shd w:val="clear" w:color="000000" w:fill="F2DCDB"/>
            <w:vAlign w:val="bottom"/>
            <w:hideMark/>
          </w:tcPr>
          <w:p w:rsidR="00A06532" w:rsidRPr="00A06532" w:rsidRDefault="00A06532" w:rsidP="00A06532">
            <w:pPr>
              <w:spacing w:after="0" w:line="240" w:lineRule="auto"/>
              <w:jc w:val="right"/>
              <w:rPr>
                <w:rFonts w:ascii="Calibri" w:eastAsia="Times New Roman" w:hAnsi="Calibri" w:cs="Times New Roman"/>
                <w:color w:val="000000"/>
                <w:lang w:eastAsia="it-IT"/>
              </w:rPr>
            </w:pPr>
            <w:r w:rsidRPr="00A06532">
              <w:rPr>
                <w:rFonts w:ascii="Calibri" w:eastAsia="Times New Roman" w:hAnsi="Calibri" w:cs="Times New Roman"/>
                <w:color w:val="000000"/>
                <w:lang w:eastAsia="it-IT"/>
              </w:rPr>
              <w:t>5</w:t>
            </w:r>
          </w:p>
        </w:tc>
        <w:tc>
          <w:tcPr>
            <w:tcW w:w="993"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0,43</w:t>
            </w:r>
          </w:p>
        </w:tc>
        <w:tc>
          <w:tcPr>
            <w:tcW w:w="850"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4</w:t>
            </w:r>
          </w:p>
        </w:tc>
        <w:tc>
          <w:tcPr>
            <w:tcW w:w="992"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0,30</w:t>
            </w:r>
          </w:p>
        </w:tc>
        <w:tc>
          <w:tcPr>
            <w:tcW w:w="999"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5</w:t>
            </w:r>
          </w:p>
        </w:tc>
        <w:tc>
          <w:tcPr>
            <w:tcW w:w="844"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0,18</w:t>
            </w:r>
          </w:p>
        </w:tc>
        <w:tc>
          <w:tcPr>
            <w:tcW w:w="942"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14</w:t>
            </w:r>
          </w:p>
        </w:tc>
        <w:tc>
          <w:tcPr>
            <w:tcW w:w="1130" w:type="dxa"/>
            <w:tcBorders>
              <w:top w:val="nil"/>
              <w:left w:val="nil"/>
              <w:bottom w:val="nil"/>
              <w:right w:val="single" w:sz="8" w:space="0" w:color="auto"/>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0,27</w:t>
            </w:r>
          </w:p>
        </w:tc>
      </w:tr>
      <w:tr w:rsidR="00A06532" w:rsidRPr="00A06532" w:rsidTr="00A06532">
        <w:trPr>
          <w:trHeight w:val="300"/>
        </w:trPr>
        <w:tc>
          <w:tcPr>
            <w:tcW w:w="724" w:type="dxa"/>
            <w:vMerge/>
            <w:tcBorders>
              <w:top w:val="nil"/>
              <w:left w:val="single" w:sz="4" w:space="0" w:color="auto"/>
              <w:bottom w:val="nil"/>
              <w:right w:val="single" w:sz="8" w:space="0" w:color="auto"/>
            </w:tcBorders>
            <w:vAlign w:val="center"/>
            <w:hideMark/>
          </w:tcPr>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30-64</w:t>
            </w:r>
          </w:p>
        </w:tc>
        <w:tc>
          <w:tcPr>
            <w:tcW w:w="850" w:type="dxa"/>
            <w:tcBorders>
              <w:top w:val="nil"/>
              <w:left w:val="single" w:sz="8" w:space="0" w:color="auto"/>
              <w:bottom w:val="nil"/>
              <w:right w:val="nil"/>
            </w:tcBorders>
            <w:shd w:val="clear" w:color="000000" w:fill="F2DCDB"/>
            <w:vAlign w:val="bottom"/>
            <w:hideMark/>
          </w:tcPr>
          <w:p w:rsidR="00A06532" w:rsidRPr="00A06532" w:rsidRDefault="00A06532" w:rsidP="00A06532">
            <w:pPr>
              <w:spacing w:after="0" w:line="240" w:lineRule="auto"/>
              <w:jc w:val="right"/>
              <w:rPr>
                <w:rFonts w:ascii="Calibri" w:eastAsia="Times New Roman" w:hAnsi="Calibri" w:cs="Times New Roman"/>
                <w:color w:val="000000"/>
                <w:lang w:eastAsia="it-IT"/>
              </w:rPr>
            </w:pPr>
            <w:r w:rsidRPr="00A06532">
              <w:rPr>
                <w:rFonts w:ascii="Calibri" w:eastAsia="Times New Roman" w:hAnsi="Calibri" w:cs="Times New Roman"/>
                <w:color w:val="000000"/>
                <w:lang w:eastAsia="it-IT"/>
              </w:rPr>
              <w:t>88</w:t>
            </w:r>
          </w:p>
        </w:tc>
        <w:tc>
          <w:tcPr>
            <w:tcW w:w="993"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2,16</w:t>
            </w:r>
          </w:p>
        </w:tc>
        <w:tc>
          <w:tcPr>
            <w:tcW w:w="850"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97</w:t>
            </w:r>
          </w:p>
        </w:tc>
        <w:tc>
          <w:tcPr>
            <w:tcW w:w="992"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2,04</w:t>
            </w:r>
          </w:p>
        </w:tc>
        <w:tc>
          <w:tcPr>
            <w:tcW w:w="999"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173</w:t>
            </w:r>
          </w:p>
        </w:tc>
        <w:tc>
          <w:tcPr>
            <w:tcW w:w="844"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1,70</w:t>
            </w:r>
          </w:p>
        </w:tc>
        <w:tc>
          <w:tcPr>
            <w:tcW w:w="942"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358</w:t>
            </w:r>
          </w:p>
        </w:tc>
        <w:tc>
          <w:tcPr>
            <w:tcW w:w="1130" w:type="dxa"/>
            <w:tcBorders>
              <w:top w:val="nil"/>
              <w:left w:val="nil"/>
              <w:bottom w:val="nil"/>
              <w:right w:val="single" w:sz="8" w:space="0" w:color="auto"/>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1,88</w:t>
            </w:r>
          </w:p>
        </w:tc>
      </w:tr>
      <w:tr w:rsidR="00A06532" w:rsidRPr="00A06532" w:rsidTr="00A06532">
        <w:trPr>
          <w:trHeight w:val="300"/>
        </w:trPr>
        <w:tc>
          <w:tcPr>
            <w:tcW w:w="724" w:type="dxa"/>
            <w:vMerge/>
            <w:tcBorders>
              <w:top w:val="nil"/>
              <w:left w:val="single" w:sz="4" w:space="0" w:color="auto"/>
              <w:bottom w:val="nil"/>
              <w:right w:val="single" w:sz="8" w:space="0" w:color="auto"/>
            </w:tcBorders>
            <w:vAlign w:val="center"/>
            <w:hideMark/>
          </w:tcPr>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65-74</w:t>
            </w:r>
          </w:p>
        </w:tc>
        <w:tc>
          <w:tcPr>
            <w:tcW w:w="850" w:type="dxa"/>
            <w:tcBorders>
              <w:top w:val="nil"/>
              <w:left w:val="single" w:sz="8" w:space="0" w:color="auto"/>
              <w:bottom w:val="nil"/>
              <w:right w:val="nil"/>
            </w:tcBorders>
            <w:shd w:val="clear" w:color="000000" w:fill="F2DCDB"/>
            <w:vAlign w:val="bottom"/>
            <w:hideMark/>
          </w:tcPr>
          <w:p w:rsidR="00A06532" w:rsidRPr="00A06532" w:rsidRDefault="00A06532" w:rsidP="00A06532">
            <w:pPr>
              <w:spacing w:after="0" w:line="240" w:lineRule="auto"/>
              <w:jc w:val="right"/>
              <w:rPr>
                <w:rFonts w:ascii="Calibri" w:eastAsia="Times New Roman" w:hAnsi="Calibri" w:cs="Times New Roman"/>
                <w:color w:val="000000"/>
                <w:lang w:eastAsia="it-IT"/>
              </w:rPr>
            </w:pPr>
            <w:r w:rsidRPr="00A06532">
              <w:rPr>
                <w:rFonts w:ascii="Calibri" w:eastAsia="Times New Roman" w:hAnsi="Calibri" w:cs="Times New Roman"/>
                <w:color w:val="000000"/>
                <w:lang w:eastAsia="it-IT"/>
              </w:rPr>
              <w:t>1</w:t>
            </w:r>
          </w:p>
        </w:tc>
        <w:tc>
          <w:tcPr>
            <w:tcW w:w="993"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0,11</w:t>
            </w:r>
          </w:p>
        </w:tc>
        <w:tc>
          <w:tcPr>
            <w:tcW w:w="850"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3</w:t>
            </w:r>
          </w:p>
        </w:tc>
        <w:tc>
          <w:tcPr>
            <w:tcW w:w="992"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0,25</w:t>
            </w:r>
          </w:p>
        </w:tc>
        <w:tc>
          <w:tcPr>
            <w:tcW w:w="999"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5</w:t>
            </w:r>
          </w:p>
        </w:tc>
        <w:tc>
          <w:tcPr>
            <w:tcW w:w="844"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0,21</w:t>
            </w:r>
          </w:p>
        </w:tc>
        <w:tc>
          <w:tcPr>
            <w:tcW w:w="942"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9</w:t>
            </w:r>
          </w:p>
        </w:tc>
        <w:tc>
          <w:tcPr>
            <w:tcW w:w="1130" w:type="dxa"/>
            <w:tcBorders>
              <w:top w:val="nil"/>
              <w:left w:val="nil"/>
              <w:bottom w:val="nil"/>
              <w:right w:val="single" w:sz="8" w:space="0" w:color="auto"/>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0,20</w:t>
            </w:r>
          </w:p>
        </w:tc>
      </w:tr>
      <w:tr w:rsidR="00A06532" w:rsidRPr="00A06532" w:rsidTr="00A06532">
        <w:trPr>
          <w:trHeight w:val="315"/>
        </w:trPr>
        <w:tc>
          <w:tcPr>
            <w:tcW w:w="724" w:type="dxa"/>
            <w:vMerge/>
            <w:tcBorders>
              <w:top w:val="nil"/>
              <w:left w:val="single" w:sz="4" w:space="0" w:color="auto"/>
              <w:bottom w:val="nil"/>
              <w:right w:val="single" w:sz="8" w:space="0" w:color="auto"/>
            </w:tcBorders>
            <w:vAlign w:val="center"/>
            <w:hideMark/>
          </w:tcPr>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single" w:sz="8" w:space="0" w:color="auto"/>
              <w:right w:val="nil"/>
            </w:tcBorders>
            <w:shd w:val="clear" w:color="000000" w:fill="F2DCDB"/>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75+</w:t>
            </w:r>
          </w:p>
        </w:tc>
        <w:tc>
          <w:tcPr>
            <w:tcW w:w="850" w:type="dxa"/>
            <w:tcBorders>
              <w:top w:val="nil"/>
              <w:left w:val="single" w:sz="8" w:space="0" w:color="auto"/>
              <w:bottom w:val="nil"/>
              <w:right w:val="nil"/>
            </w:tcBorders>
            <w:shd w:val="clear" w:color="000000" w:fill="F2DCDB"/>
            <w:vAlign w:val="bottom"/>
            <w:hideMark/>
          </w:tcPr>
          <w:p w:rsidR="00A06532" w:rsidRPr="00A06532" w:rsidRDefault="00A06532" w:rsidP="00A06532">
            <w:pPr>
              <w:spacing w:after="0" w:line="240" w:lineRule="auto"/>
              <w:jc w:val="right"/>
              <w:rPr>
                <w:rFonts w:ascii="Calibri" w:eastAsia="Times New Roman" w:hAnsi="Calibri" w:cs="Times New Roman"/>
                <w:color w:val="000000"/>
                <w:lang w:eastAsia="it-IT"/>
              </w:rPr>
            </w:pPr>
            <w:r w:rsidRPr="00A06532">
              <w:rPr>
                <w:rFonts w:ascii="Calibri" w:eastAsia="Times New Roman" w:hAnsi="Calibri" w:cs="Times New Roman"/>
                <w:color w:val="000000"/>
                <w:lang w:eastAsia="it-IT"/>
              </w:rPr>
              <w:t>2</w:t>
            </w:r>
          </w:p>
        </w:tc>
        <w:tc>
          <w:tcPr>
            <w:tcW w:w="993"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0,18</w:t>
            </w:r>
          </w:p>
        </w:tc>
        <w:tc>
          <w:tcPr>
            <w:tcW w:w="850"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w:t>
            </w:r>
          </w:p>
        </w:tc>
        <w:tc>
          <w:tcPr>
            <w:tcW w:w="992"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0,06</w:t>
            </w:r>
          </w:p>
        </w:tc>
        <w:tc>
          <w:tcPr>
            <w:tcW w:w="999"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w:t>
            </w:r>
          </w:p>
        </w:tc>
        <w:tc>
          <w:tcPr>
            <w:tcW w:w="844"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0,00</w:t>
            </w:r>
          </w:p>
        </w:tc>
        <w:tc>
          <w:tcPr>
            <w:tcW w:w="942" w:type="dxa"/>
            <w:tcBorders>
              <w:top w:val="nil"/>
              <w:left w:val="nil"/>
              <w:bottom w:val="nil"/>
              <w:right w:val="nil"/>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3</w:t>
            </w:r>
          </w:p>
        </w:tc>
        <w:tc>
          <w:tcPr>
            <w:tcW w:w="1130" w:type="dxa"/>
            <w:tcBorders>
              <w:top w:val="nil"/>
              <w:left w:val="nil"/>
              <w:bottom w:val="nil"/>
              <w:right w:val="single" w:sz="8" w:space="0" w:color="auto"/>
            </w:tcBorders>
            <w:shd w:val="clear" w:color="000000" w:fill="F2DCDB"/>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0,05</w:t>
            </w:r>
          </w:p>
        </w:tc>
      </w:tr>
      <w:tr w:rsidR="00A06532" w:rsidRPr="00A06532" w:rsidTr="00A06532">
        <w:trPr>
          <w:trHeight w:val="300"/>
        </w:trPr>
        <w:tc>
          <w:tcPr>
            <w:tcW w:w="724" w:type="dxa"/>
            <w:vMerge w:val="restart"/>
            <w:tcBorders>
              <w:top w:val="nil"/>
              <w:left w:val="single" w:sz="4" w:space="0" w:color="auto"/>
              <w:bottom w:val="single" w:sz="4" w:space="0" w:color="000000"/>
              <w:right w:val="single" w:sz="8" w:space="0" w:color="auto"/>
            </w:tcBorders>
            <w:shd w:val="clear" w:color="auto" w:fill="DBE5F1" w:themeFill="accent1" w:themeFillTint="33"/>
            <w:noWrap/>
            <w:vAlign w:val="bottom"/>
            <w:hideMark/>
          </w:tcPr>
          <w:p w:rsidR="00A06532" w:rsidRDefault="00A06532" w:rsidP="00A06532">
            <w:pPr>
              <w:spacing w:after="0" w:line="240" w:lineRule="auto"/>
              <w:rPr>
                <w:rFonts w:ascii="Calibri" w:eastAsia="Times New Roman" w:hAnsi="Calibri" w:cs="Times New Roman"/>
                <w:lang w:eastAsia="it-IT"/>
              </w:rPr>
            </w:pPr>
            <w:r w:rsidRPr="00A06532">
              <w:rPr>
                <w:rFonts w:ascii="Calibri" w:eastAsia="Times New Roman" w:hAnsi="Calibri" w:cs="Times New Roman"/>
                <w:lang w:eastAsia="it-IT"/>
              </w:rPr>
              <w:t>M</w:t>
            </w:r>
          </w:p>
          <w:p w:rsidR="00A06532" w:rsidRDefault="00A06532" w:rsidP="00A06532">
            <w:pPr>
              <w:spacing w:after="0" w:line="240" w:lineRule="auto"/>
              <w:rPr>
                <w:rFonts w:ascii="Calibri" w:eastAsia="Times New Roman" w:hAnsi="Calibri" w:cs="Times New Roman"/>
                <w:lang w:eastAsia="it-IT"/>
              </w:rPr>
            </w:pPr>
          </w:p>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00-14</w:t>
            </w:r>
          </w:p>
        </w:tc>
        <w:tc>
          <w:tcPr>
            <w:tcW w:w="850" w:type="dxa"/>
            <w:tcBorders>
              <w:top w:val="single" w:sz="8" w:space="0" w:color="auto"/>
              <w:left w:val="single" w:sz="8" w:space="0" w:color="auto"/>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Arial" w:eastAsia="Times New Roman" w:hAnsi="Arial" w:cs="Arial"/>
                <w:color w:val="000000"/>
                <w:sz w:val="20"/>
                <w:szCs w:val="20"/>
                <w:lang w:eastAsia="it-IT"/>
              </w:rPr>
            </w:pPr>
            <w:r w:rsidRPr="00A06532">
              <w:rPr>
                <w:rFonts w:ascii="Arial" w:eastAsia="Times New Roman" w:hAnsi="Arial" w:cs="Arial"/>
                <w:color w:val="000000"/>
                <w:sz w:val="20"/>
                <w:szCs w:val="20"/>
                <w:lang w:eastAsia="it-IT"/>
              </w:rPr>
              <w:t>0</w:t>
            </w:r>
          </w:p>
        </w:tc>
        <w:tc>
          <w:tcPr>
            <w:tcW w:w="993" w:type="dxa"/>
            <w:tcBorders>
              <w:top w:val="single" w:sz="8" w:space="0" w:color="auto"/>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0,00</w:t>
            </w:r>
          </w:p>
        </w:tc>
        <w:tc>
          <w:tcPr>
            <w:tcW w:w="850" w:type="dxa"/>
            <w:tcBorders>
              <w:top w:val="single" w:sz="8" w:space="0" w:color="auto"/>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2</w:t>
            </w:r>
          </w:p>
        </w:tc>
        <w:tc>
          <w:tcPr>
            <w:tcW w:w="992" w:type="dxa"/>
            <w:tcBorders>
              <w:top w:val="single" w:sz="8" w:space="0" w:color="auto"/>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0,15</w:t>
            </w:r>
          </w:p>
        </w:tc>
        <w:tc>
          <w:tcPr>
            <w:tcW w:w="999" w:type="dxa"/>
            <w:tcBorders>
              <w:top w:val="single" w:sz="8" w:space="0" w:color="auto"/>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w:t>
            </w:r>
          </w:p>
        </w:tc>
        <w:tc>
          <w:tcPr>
            <w:tcW w:w="844" w:type="dxa"/>
            <w:tcBorders>
              <w:top w:val="single" w:sz="8" w:space="0" w:color="auto"/>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0,03</w:t>
            </w:r>
          </w:p>
        </w:tc>
        <w:tc>
          <w:tcPr>
            <w:tcW w:w="942" w:type="dxa"/>
            <w:tcBorders>
              <w:top w:val="single" w:sz="8" w:space="0" w:color="auto"/>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3</w:t>
            </w:r>
          </w:p>
        </w:tc>
        <w:tc>
          <w:tcPr>
            <w:tcW w:w="1130" w:type="dxa"/>
            <w:tcBorders>
              <w:top w:val="single" w:sz="8" w:space="0" w:color="auto"/>
              <w:left w:val="nil"/>
              <w:bottom w:val="nil"/>
              <w:right w:val="single" w:sz="8" w:space="0" w:color="auto"/>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0,06</w:t>
            </w:r>
          </w:p>
        </w:tc>
      </w:tr>
      <w:tr w:rsidR="00A06532" w:rsidRPr="00A06532" w:rsidTr="00A06532">
        <w:trPr>
          <w:trHeight w:val="300"/>
        </w:trPr>
        <w:tc>
          <w:tcPr>
            <w:tcW w:w="724" w:type="dxa"/>
            <w:vMerge/>
            <w:tcBorders>
              <w:top w:val="nil"/>
              <w:left w:val="single" w:sz="4" w:space="0" w:color="auto"/>
              <w:bottom w:val="single" w:sz="4" w:space="0" w:color="000000"/>
              <w:right w:val="single" w:sz="8" w:space="0" w:color="auto"/>
            </w:tcBorders>
            <w:vAlign w:val="center"/>
            <w:hideMark/>
          </w:tcPr>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nil"/>
              <w:right w:val="nil"/>
            </w:tcBorders>
            <w:shd w:val="clear" w:color="000000" w:fill="DCE6F1"/>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15-29</w:t>
            </w:r>
          </w:p>
        </w:tc>
        <w:tc>
          <w:tcPr>
            <w:tcW w:w="850" w:type="dxa"/>
            <w:tcBorders>
              <w:top w:val="nil"/>
              <w:left w:val="single" w:sz="8" w:space="0" w:color="auto"/>
              <w:bottom w:val="nil"/>
              <w:right w:val="nil"/>
            </w:tcBorders>
            <w:shd w:val="clear" w:color="auto" w:fill="DBE5F1" w:themeFill="accent1" w:themeFillTint="33"/>
            <w:vAlign w:val="bottom"/>
            <w:hideMark/>
          </w:tcPr>
          <w:p w:rsidR="00A06532" w:rsidRPr="00A06532" w:rsidRDefault="00A06532" w:rsidP="00A06532">
            <w:pPr>
              <w:spacing w:after="0" w:line="240" w:lineRule="auto"/>
              <w:jc w:val="right"/>
              <w:rPr>
                <w:rFonts w:ascii="Calibri" w:eastAsia="Times New Roman" w:hAnsi="Calibri" w:cs="Times New Roman"/>
                <w:color w:val="000000"/>
                <w:lang w:eastAsia="it-IT"/>
              </w:rPr>
            </w:pPr>
            <w:r w:rsidRPr="00A06532">
              <w:rPr>
                <w:rFonts w:ascii="Calibri" w:eastAsia="Times New Roman" w:hAnsi="Calibri" w:cs="Times New Roman"/>
                <w:color w:val="000000"/>
                <w:lang w:eastAsia="it-IT"/>
              </w:rPr>
              <w:t>8</w:t>
            </w:r>
          </w:p>
        </w:tc>
        <w:tc>
          <w:tcPr>
            <w:tcW w:w="993"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0,68</w:t>
            </w:r>
          </w:p>
        </w:tc>
        <w:tc>
          <w:tcPr>
            <w:tcW w:w="850"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16</w:t>
            </w:r>
          </w:p>
        </w:tc>
        <w:tc>
          <w:tcPr>
            <w:tcW w:w="992"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1,16</w:t>
            </w:r>
          </w:p>
        </w:tc>
        <w:tc>
          <w:tcPr>
            <w:tcW w:w="999"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11</w:t>
            </w:r>
          </w:p>
        </w:tc>
        <w:tc>
          <w:tcPr>
            <w:tcW w:w="844"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0,38</w:t>
            </w:r>
          </w:p>
        </w:tc>
        <w:tc>
          <w:tcPr>
            <w:tcW w:w="942"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35</w:t>
            </w:r>
          </w:p>
        </w:tc>
        <w:tc>
          <w:tcPr>
            <w:tcW w:w="1130" w:type="dxa"/>
            <w:tcBorders>
              <w:top w:val="nil"/>
              <w:left w:val="nil"/>
              <w:bottom w:val="nil"/>
              <w:right w:val="single" w:sz="8" w:space="0" w:color="auto"/>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0,65</w:t>
            </w:r>
          </w:p>
        </w:tc>
      </w:tr>
      <w:tr w:rsidR="00A06532" w:rsidRPr="00A06532" w:rsidTr="00A06532">
        <w:trPr>
          <w:trHeight w:val="300"/>
        </w:trPr>
        <w:tc>
          <w:tcPr>
            <w:tcW w:w="724" w:type="dxa"/>
            <w:vMerge/>
            <w:tcBorders>
              <w:top w:val="nil"/>
              <w:left w:val="single" w:sz="4" w:space="0" w:color="auto"/>
              <w:bottom w:val="single" w:sz="4" w:space="0" w:color="000000"/>
              <w:right w:val="single" w:sz="8" w:space="0" w:color="auto"/>
            </w:tcBorders>
            <w:vAlign w:val="center"/>
            <w:hideMark/>
          </w:tcPr>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nil"/>
              <w:right w:val="nil"/>
            </w:tcBorders>
            <w:shd w:val="clear" w:color="000000" w:fill="DCE6F1"/>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30-64</w:t>
            </w:r>
          </w:p>
        </w:tc>
        <w:tc>
          <w:tcPr>
            <w:tcW w:w="850" w:type="dxa"/>
            <w:tcBorders>
              <w:top w:val="nil"/>
              <w:left w:val="single" w:sz="8" w:space="0" w:color="auto"/>
              <w:bottom w:val="nil"/>
              <w:right w:val="nil"/>
            </w:tcBorders>
            <w:shd w:val="clear" w:color="auto" w:fill="DBE5F1" w:themeFill="accent1" w:themeFillTint="33"/>
            <w:vAlign w:val="bottom"/>
            <w:hideMark/>
          </w:tcPr>
          <w:p w:rsidR="00A06532" w:rsidRPr="00A06532" w:rsidRDefault="00A06532" w:rsidP="00A06532">
            <w:pPr>
              <w:spacing w:after="0" w:line="240" w:lineRule="auto"/>
              <w:jc w:val="right"/>
              <w:rPr>
                <w:rFonts w:ascii="Calibri" w:eastAsia="Times New Roman" w:hAnsi="Calibri" w:cs="Times New Roman"/>
                <w:color w:val="000000"/>
                <w:lang w:eastAsia="it-IT"/>
              </w:rPr>
            </w:pPr>
            <w:r w:rsidRPr="00A06532">
              <w:rPr>
                <w:rFonts w:ascii="Calibri" w:eastAsia="Times New Roman" w:hAnsi="Calibri" w:cs="Times New Roman"/>
                <w:color w:val="000000"/>
                <w:lang w:eastAsia="it-IT"/>
              </w:rPr>
              <w:t>205</w:t>
            </w:r>
          </w:p>
        </w:tc>
        <w:tc>
          <w:tcPr>
            <w:tcW w:w="993"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4,92</w:t>
            </w:r>
          </w:p>
        </w:tc>
        <w:tc>
          <w:tcPr>
            <w:tcW w:w="850"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235</w:t>
            </w:r>
          </w:p>
        </w:tc>
        <w:tc>
          <w:tcPr>
            <w:tcW w:w="992"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4,80</w:t>
            </w:r>
          </w:p>
        </w:tc>
        <w:tc>
          <w:tcPr>
            <w:tcW w:w="999"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418</w:t>
            </w:r>
          </w:p>
        </w:tc>
        <w:tc>
          <w:tcPr>
            <w:tcW w:w="844"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4,04</w:t>
            </w:r>
          </w:p>
        </w:tc>
        <w:tc>
          <w:tcPr>
            <w:tcW w:w="942"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858</w:t>
            </w:r>
          </w:p>
        </w:tc>
        <w:tc>
          <w:tcPr>
            <w:tcW w:w="1130" w:type="dxa"/>
            <w:tcBorders>
              <w:top w:val="nil"/>
              <w:left w:val="nil"/>
              <w:bottom w:val="nil"/>
              <w:right w:val="single" w:sz="8" w:space="0" w:color="auto"/>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4,42</w:t>
            </w:r>
          </w:p>
        </w:tc>
      </w:tr>
      <w:tr w:rsidR="00A06532" w:rsidRPr="00A06532" w:rsidTr="00A06532">
        <w:trPr>
          <w:trHeight w:val="300"/>
        </w:trPr>
        <w:tc>
          <w:tcPr>
            <w:tcW w:w="724" w:type="dxa"/>
            <w:vMerge/>
            <w:tcBorders>
              <w:top w:val="nil"/>
              <w:left w:val="single" w:sz="4" w:space="0" w:color="auto"/>
              <w:bottom w:val="single" w:sz="4" w:space="0" w:color="000000"/>
              <w:right w:val="single" w:sz="8" w:space="0" w:color="auto"/>
            </w:tcBorders>
            <w:vAlign w:val="center"/>
            <w:hideMark/>
          </w:tcPr>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nil"/>
              <w:right w:val="nil"/>
            </w:tcBorders>
            <w:shd w:val="clear" w:color="000000" w:fill="DCE6F1"/>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65-74</w:t>
            </w:r>
          </w:p>
        </w:tc>
        <w:tc>
          <w:tcPr>
            <w:tcW w:w="850" w:type="dxa"/>
            <w:tcBorders>
              <w:top w:val="nil"/>
              <w:left w:val="single" w:sz="8" w:space="0" w:color="auto"/>
              <w:bottom w:val="nil"/>
              <w:right w:val="nil"/>
            </w:tcBorders>
            <w:shd w:val="clear" w:color="auto" w:fill="DBE5F1" w:themeFill="accent1" w:themeFillTint="33"/>
            <w:vAlign w:val="bottom"/>
            <w:hideMark/>
          </w:tcPr>
          <w:p w:rsidR="00A06532" w:rsidRPr="00A06532" w:rsidRDefault="00A06532" w:rsidP="00A06532">
            <w:pPr>
              <w:spacing w:after="0" w:line="240" w:lineRule="auto"/>
              <w:jc w:val="right"/>
              <w:rPr>
                <w:rFonts w:ascii="Calibri" w:eastAsia="Times New Roman" w:hAnsi="Calibri" w:cs="Times New Roman"/>
                <w:color w:val="000000"/>
                <w:lang w:eastAsia="it-IT"/>
              </w:rPr>
            </w:pPr>
            <w:r w:rsidRPr="00A06532">
              <w:rPr>
                <w:rFonts w:ascii="Calibri" w:eastAsia="Times New Roman" w:hAnsi="Calibri" w:cs="Times New Roman"/>
                <w:color w:val="000000"/>
                <w:lang w:eastAsia="it-IT"/>
              </w:rPr>
              <w:t>18</w:t>
            </w:r>
          </w:p>
        </w:tc>
        <w:tc>
          <w:tcPr>
            <w:tcW w:w="993"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1,98</w:t>
            </w:r>
          </w:p>
        </w:tc>
        <w:tc>
          <w:tcPr>
            <w:tcW w:w="850"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18</w:t>
            </w:r>
          </w:p>
        </w:tc>
        <w:tc>
          <w:tcPr>
            <w:tcW w:w="992"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1,65</w:t>
            </w:r>
          </w:p>
        </w:tc>
        <w:tc>
          <w:tcPr>
            <w:tcW w:w="999"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30</w:t>
            </w:r>
          </w:p>
        </w:tc>
        <w:tc>
          <w:tcPr>
            <w:tcW w:w="844"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1,39</w:t>
            </w:r>
          </w:p>
        </w:tc>
        <w:tc>
          <w:tcPr>
            <w:tcW w:w="942" w:type="dxa"/>
            <w:tcBorders>
              <w:top w:val="nil"/>
              <w:left w:val="nil"/>
              <w:bottom w:val="nil"/>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66</w:t>
            </w:r>
          </w:p>
        </w:tc>
        <w:tc>
          <w:tcPr>
            <w:tcW w:w="1130" w:type="dxa"/>
            <w:tcBorders>
              <w:top w:val="nil"/>
              <w:left w:val="nil"/>
              <w:bottom w:val="nil"/>
              <w:right w:val="single" w:sz="8" w:space="0" w:color="auto"/>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1,59</w:t>
            </w:r>
          </w:p>
        </w:tc>
      </w:tr>
      <w:tr w:rsidR="00A06532" w:rsidRPr="00A06532" w:rsidTr="00A06532">
        <w:trPr>
          <w:trHeight w:val="315"/>
        </w:trPr>
        <w:tc>
          <w:tcPr>
            <w:tcW w:w="724" w:type="dxa"/>
            <w:vMerge/>
            <w:tcBorders>
              <w:top w:val="nil"/>
              <w:left w:val="single" w:sz="4" w:space="0" w:color="auto"/>
              <w:bottom w:val="single" w:sz="4" w:space="0" w:color="000000"/>
              <w:right w:val="single" w:sz="8" w:space="0" w:color="auto"/>
            </w:tcBorders>
            <w:vAlign w:val="center"/>
            <w:hideMark/>
          </w:tcPr>
          <w:p w:rsidR="00A06532" w:rsidRPr="00A06532" w:rsidRDefault="00A06532" w:rsidP="00A06532">
            <w:pPr>
              <w:spacing w:after="0" w:line="240" w:lineRule="auto"/>
              <w:rPr>
                <w:rFonts w:ascii="Calibri" w:eastAsia="Times New Roman" w:hAnsi="Calibri" w:cs="Times New Roman"/>
                <w:lang w:eastAsia="it-IT"/>
              </w:rPr>
            </w:pPr>
          </w:p>
        </w:tc>
        <w:tc>
          <w:tcPr>
            <w:tcW w:w="1276" w:type="dxa"/>
            <w:tcBorders>
              <w:top w:val="nil"/>
              <w:left w:val="nil"/>
              <w:bottom w:val="single" w:sz="8" w:space="0" w:color="auto"/>
              <w:right w:val="nil"/>
            </w:tcBorders>
            <w:shd w:val="clear" w:color="000000" w:fill="DCE6F1"/>
            <w:noWrap/>
            <w:vAlign w:val="bottom"/>
            <w:hideMark/>
          </w:tcPr>
          <w:p w:rsidR="00A06532" w:rsidRPr="00A06532" w:rsidRDefault="00A06532" w:rsidP="00A06532">
            <w:pPr>
              <w:spacing w:after="0" w:line="240" w:lineRule="auto"/>
              <w:rPr>
                <w:rFonts w:ascii="Calibri" w:eastAsia="Times New Roman" w:hAnsi="Calibri" w:cs="Times New Roman"/>
                <w:b/>
                <w:bCs/>
                <w:lang w:eastAsia="it-IT"/>
              </w:rPr>
            </w:pPr>
            <w:r w:rsidRPr="00A06532">
              <w:rPr>
                <w:rFonts w:ascii="Calibri" w:eastAsia="Times New Roman" w:hAnsi="Calibri" w:cs="Times New Roman"/>
                <w:b/>
                <w:bCs/>
                <w:lang w:eastAsia="it-IT"/>
              </w:rPr>
              <w:t>75+</w:t>
            </w:r>
          </w:p>
        </w:tc>
        <w:tc>
          <w:tcPr>
            <w:tcW w:w="850" w:type="dxa"/>
            <w:tcBorders>
              <w:top w:val="nil"/>
              <w:left w:val="single" w:sz="8" w:space="0" w:color="auto"/>
              <w:bottom w:val="single" w:sz="8" w:space="0" w:color="auto"/>
              <w:right w:val="nil"/>
            </w:tcBorders>
            <w:shd w:val="clear" w:color="auto" w:fill="DBE5F1" w:themeFill="accent1" w:themeFillTint="33"/>
            <w:vAlign w:val="bottom"/>
            <w:hideMark/>
          </w:tcPr>
          <w:p w:rsidR="00A06532" w:rsidRPr="00A06532" w:rsidRDefault="00A06532" w:rsidP="00A06532">
            <w:pPr>
              <w:spacing w:after="0" w:line="240" w:lineRule="auto"/>
              <w:jc w:val="right"/>
              <w:rPr>
                <w:rFonts w:ascii="Calibri" w:eastAsia="Times New Roman" w:hAnsi="Calibri" w:cs="Times New Roman"/>
                <w:color w:val="000000"/>
                <w:lang w:eastAsia="it-IT"/>
              </w:rPr>
            </w:pPr>
            <w:r w:rsidRPr="00A06532">
              <w:rPr>
                <w:rFonts w:ascii="Calibri" w:eastAsia="Times New Roman" w:hAnsi="Calibri" w:cs="Times New Roman"/>
                <w:color w:val="000000"/>
                <w:lang w:eastAsia="it-IT"/>
              </w:rPr>
              <w:t>4</w:t>
            </w:r>
          </w:p>
        </w:tc>
        <w:tc>
          <w:tcPr>
            <w:tcW w:w="993" w:type="dxa"/>
            <w:tcBorders>
              <w:top w:val="nil"/>
              <w:left w:val="nil"/>
              <w:bottom w:val="single" w:sz="8" w:space="0" w:color="auto"/>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0,55</w:t>
            </w:r>
          </w:p>
        </w:tc>
        <w:tc>
          <w:tcPr>
            <w:tcW w:w="850" w:type="dxa"/>
            <w:tcBorders>
              <w:top w:val="nil"/>
              <w:left w:val="nil"/>
              <w:bottom w:val="single" w:sz="8" w:space="0" w:color="auto"/>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3</w:t>
            </w:r>
          </w:p>
        </w:tc>
        <w:tc>
          <w:tcPr>
            <w:tcW w:w="992" w:type="dxa"/>
            <w:tcBorders>
              <w:top w:val="nil"/>
              <w:left w:val="nil"/>
              <w:bottom w:val="single" w:sz="8" w:space="0" w:color="auto"/>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0,29</w:t>
            </w:r>
          </w:p>
        </w:tc>
        <w:tc>
          <w:tcPr>
            <w:tcW w:w="999" w:type="dxa"/>
            <w:tcBorders>
              <w:top w:val="nil"/>
              <w:left w:val="nil"/>
              <w:bottom w:val="single" w:sz="8" w:space="0" w:color="auto"/>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4</w:t>
            </w:r>
          </w:p>
        </w:tc>
        <w:tc>
          <w:tcPr>
            <w:tcW w:w="844" w:type="dxa"/>
            <w:tcBorders>
              <w:top w:val="nil"/>
              <w:left w:val="nil"/>
              <w:bottom w:val="single" w:sz="8" w:space="0" w:color="auto"/>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0,19</w:t>
            </w:r>
          </w:p>
        </w:tc>
        <w:tc>
          <w:tcPr>
            <w:tcW w:w="942" w:type="dxa"/>
            <w:tcBorders>
              <w:top w:val="nil"/>
              <w:left w:val="nil"/>
              <w:bottom w:val="single" w:sz="8" w:space="0" w:color="auto"/>
              <w:right w:val="nil"/>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11</w:t>
            </w:r>
          </w:p>
        </w:tc>
        <w:tc>
          <w:tcPr>
            <w:tcW w:w="1130" w:type="dxa"/>
            <w:tcBorders>
              <w:top w:val="nil"/>
              <w:left w:val="nil"/>
              <w:bottom w:val="single" w:sz="8" w:space="0" w:color="auto"/>
              <w:right w:val="single" w:sz="8" w:space="0" w:color="auto"/>
            </w:tcBorders>
            <w:shd w:val="clear" w:color="auto" w:fill="DBE5F1" w:themeFill="accent1" w:themeFillTint="33"/>
            <w:noWrap/>
            <w:vAlign w:val="bottom"/>
            <w:hideMark/>
          </w:tcPr>
          <w:p w:rsidR="00A06532" w:rsidRPr="00A06532" w:rsidRDefault="00A06532" w:rsidP="00A06532">
            <w:pPr>
              <w:spacing w:after="0" w:line="240" w:lineRule="auto"/>
              <w:jc w:val="right"/>
              <w:rPr>
                <w:rFonts w:ascii="Calibri" w:eastAsia="Times New Roman" w:hAnsi="Calibri" w:cs="Times New Roman"/>
                <w:lang w:eastAsia="it-IT"/>
              </w:rPr>
            </w:pPr>
            <w:r w:rsidRPr="00A06532">
              <w:rPr>
                <w:rFonts w:ascii="Calibri" w:eastAsia="Times New Roman" w:hAnsi="Calibri" w:cs="Times New Roman"/>
                <w:lang w:eastAsia="it-IT"/>
              </w:rPr>
              <w:t>0,29</w:t>
            </w:r>
          </w:p>
        </w:tc>
      </w:tr>
    </w:tbl>
    <w:p w:rsidR="00A06532" w:rsidRDefault="00A06532" w:rsidP="004D2786">
      <w:pPr>
        <w:pStyle w:val="Nessunaspaziatura"/>
        <w:jc w:val="both"/>
        <w:rPr>
          <w:b/>
        </w:rPr>
      </w:pPr>
    </w:p>
    <w:p w:rsidR="007A51F1" w:rsidRDefault="007A51F1" w:rsidP="004D2786">
      <w:pPr>
        <w:pStyle w:val="Nessunaspaziatura"/>
        <w:jc w:val="both"/>
        <w:rPr>
          <w:b/>
        </w:rPr>
      </w:pPr>
    </w:p>
    <w:p w:rsidR="007A51F1" w:rsidRDefault="007A51F1" w:rsidP="004D2786">
      <w:pPr>
        <w:pStyle w:val="Nessunaspaziatura"/>
        <w:jc w:val="both"/>
        <w:rPr>
          <w:b/>
        </w:rPr>
      </w:pPr>
    </w:p>
    <w:p w:rsidR="007A51F1" w:rsidRDefault="00A06532" w:rsidP="004D2786">
      <w:pPr>
        <w:pStyle w:val="Nessunaspaziatura"/>
        <w:jc w:val="both"/>
        <w:rPr>
          <w:b/>
        </w:rPr>
      </w:pPr>
      <w:r>
        <w:rPr>
          <w:noProof/>
          <w:lang w:eastAsia="it-IT"/>
        </w:rPr>
        <w:drawing>
          <wp:inline distT="0" distB="0" distL="0" distR="0" wp14:anchorId="5D354B23" wp14:editId="60906F87">
            <wp:extent cx="6076950" cy="2305050"/>
            <wp:effectExtent l="0" t="0" r="19050" b="19050"/>
            <wp:docPr id="18" name="Gra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7A51F1" w:rsidRDefault="007A51F1" w:rsidP="004D2786">
      <w:pPr>
        <w:pStyle w:val="Nessunaspaziatura"/>
        <w:jc w:val="both"/>
        <w:rPr>
          <w:b/>
        </w:rPr>
      </w:pPr>
    </w:p>
    <w:p w:rsidR="00DC15BE" w:rsidRDefault="00DC15BE" w:rsidP="004D2786">
      <w:pPr>
        <w:pStyle w:val="Nessunaspaziatura"/>
        <w:jc w:val="both"/>
        <w:rPr>
          <w:b/>
        </w:rPr>
      </w:pPr>
    </w:p>
    <w:p w:rsidR="00F75B6D" w:rsidRDefault="00F75B6D" w:rsidP="004D2786">
      <w:pPr>
        <w:pStyle w:val="Nessunaspaziatura"/>
        <w:jc w:val="both"/>
        <w:rPr>
          <w:b/>
          <w:color w:val="FF0000"/>
        </w:rPr>
      </w:pPr>
    </w:p>
    <w:p w:rsidR="00F75B6D" w:rsidRDefault="00F75B6D" w:rsidP="004D2786">
      <w:pPr>
        <w:pStyle w:val="Nessunaspaziatura"/>
        <w:jc w:val="both"/>
        <w:rPr>
          <w:b/>
          <w:color w:val="FF0000"/>
        </w:rPr>
      </w:pPr>
    </w:p>
    <w:p w:rsidR="00F75B6D" w:rsidRDefault="00F75B6D" w:rsidP="004D2786">
      <w:pPr>
        <w:pStyle w:val="Nessunaspaziatura"/>
        <w:jc w:val="both"/>
        <w:rPr>
          <w:b/>
          <w:color w:val="FF0000"/>
        </w:rPr>
      </w:pPr>
    </w:p>
    <w:p w:rsidR="00F75B6D" w:rsidRDefault="00F75B6D" w:rsidP="004D2786">
      <w:pPr>
        <w:pStyle w:val="Nessunaspaziatura"/>
        <w:jc w:val="both"/>
        <w:rPr>
          <w:b/>
          <w:color w:val="FF0000"/>
        </w:rPr>
      </w:pPr>
    </w:p>
    <w:p w:rsidR="00F75B6D" w:rsidRDefault="00F75B6D" w:rsidP="004D2786">
      <w:pPr>
        <w:pStyle w:val="Nessunaspaziatura"/>
        <w:jc w:val="both"/>
        <w:rPr>
          <w:b/>
          <w:color w:val="FF0000"/>
        </w:rPr>
      </w:pPr>
    </w:p>
    <w:p w:rsidR="00C055E0" w:rsidRDefault="00C055E0" w:rsidP="009360E8">
      <w:pPr>
        <w:pStyle w:val="Default"/>
        <w:jc w:val="both"/>
        <w:rPr>
          <w:rFonts w:asciiTheme="minorHAnsi" w:eastAsiaTheme="minorHAnsi" w:hAnsiTheme="minorHAnsi" w:cstheme="minorBidi"/>
          <w:b/>
          <w:color w:val="FF0000"/>
          <w:sz w:val="22"/>
          <w:szCs w:val="22"/>
          <w:lang w:eastAsia="en-US"/>
        </w:rPr>
      </w:pPr>
    </w:p>
    <w:p w:rsidR="00D860D1" w:rsidRDefault="00D860D1" w:rsidP="009360E8">
      <w:pPr>
        <w:pStyle w:val="Default"/>
        <w:jc w:val="both"/>
        <w:rPr>
          <w:rFonts w:asciiTheme="minorHAnsi" w:hAnsiTheme="minorHAnsi" w:cstheme="minorBidi"/>
          <w:b/>
          <w:bCs/>
          <w:color w:val="auto"/>
          <w:kern w:val="24"/>
          <w:sz w:val="22"/>
          <w:szCs w:val="22"/>
        </w:rPr>
      </w:pPr>
    </w:p>
    <w:p w:rsidR="00B5244E" w:rsidRDefault="00B5244E" w:rsidP="009360E8">
      <w:pPr>
        <w:pStyle w:val="Default"/>
        <w:jc w:val="both"/>
        <w:rPr>
          <w:rFonts w:asciiTheme="minorHAnsi" w:hAnsiTheme="minorHAnsi" w:cstheme="minorBidi"/>
          <w:bCs/>
          <w:color w:val="auto"/>
          <w:kern w:val="24"/>
          <w:sz w:val="22"/>
          <w:szCs w:val="22"/>
        </w:rPr>
      </w:pPr>
      <w:r w:rsidRPr="00B5244E">
        <w:rPr>
          <w:rFonts w:asciiTheme="minorHAnsi" w:hAnsiTheme="minorHAnsi" w:cstheme="minorBidi"/>
          <w:b/>
          <w:bCs/>
          <w:color w:val="auto"/>
          <w:kern w:val="24"/>
          <w:sz w:val="22"/>
          <w:szCs w:val="22"/>
        </w:rPr>
        <w:lastRenderedPageBreak/>
        <w:t>T</w:t>
      </w:r>
      <w:r w:rsidR="00D860D1" w:rsidRPr="00B5244E">
        <w:rPr>
          <w:rFonts w:asciiTheme="minorHAnsi" w:hAnsiTheme="minorHAnsi" w:cstheme="minorBidi"/>
          <w:b/>
          <w:bCs/>
          <w:color w:val="auto"/>
          <w:kern w:val="24"/>
          <w:sz w:val="22"/>
          <w:szCs w:val="22"/>
        </w:rPr>
        <w:t>raumatism</w:t>
      </w:r>
      <w:r w:rsidR="00D860D1">
        <w:rPr>
          <w:rFonts w:asciiTheme="minorHAnsi" w:hAnsiTheme="minorHAnsi" w:cstheme="minorBidi"/>
          <w:bCs/>
          <w:color w:val="auto"/>
          <w:kern w:val="24"/>
          <w:sz w:val="22"/>
          <w:szCs w:val="22"/>
        </w:rPr>
        <w:t xml:space="preserve">i </w:t>
      </w:r>
    </w:p>
    <w:p w:rsidR="00B5244E" w:rsidRDefault="004560CC" w:rsidP="009360E8">
      <w:pPr>
        <w:pStyle w:val="Default"/>
        <w:jc w:val="both"/>
        <w:rPr>
          <w:rFonts w:asciiTheme="minorHAnsi" w:hAnsiTheme="minorHAnsi" w:cstheme="minorBidi"/>
          <w:bCs/>
          <w:color w:val="auto"/>
          <w:kern w:val="24"/>
          <w:sz w:val="22"/>
          <w:szCs w:val="22"/>
        </w:rPr>
      </w:pPr>
      <w:r>
        <w:rPr>
          <w:rFonts w:asciiTheme="minorHAnsi" w:hAnsiTheme="minorHAnsi" w:cstheme="minorBidi"/>
          <w:bCs/>
          <w:color w:val="auto"/>
          <w:kern w:val="24"/>
          <w:sz w:val="22"/>
          <w:szCs w:val="22"/>
        </w:rPr>
        <w:t>Il fenomeno è complessivamente più frequente a Mantova e si caratterizza per una forte differenza di genere a sfavore dei maschi che si concentra nelle classi di età più giovani.</w:t>
      </w:r>
    </w:p>
    <w:p w:rsidR="004560CC" w:rsidRDefault="004560CC" w:rsidP="009360E8">
      <w:pPr>
        <w:pStyle w:val="Default"/>
        <w:jc w:val="both"/>
        <w:rPr>
          <w:rFonts w:asciiTheme="minorHAnsi" w:hAnsiTheme="minorHAnsi" w:cstheme="minorBidi"/>
          <w:bCs/>
          <w:color w:val="auto"/>
          <w:kern w:val="24"/>
          <w:sz w:val="22"/>
          <w:szCs w:val="22"/>
        </w:rPr>
      </w:pPr>
      <w:r>
        <w:rPr>
          <w:rFonts w:asciiTheme="minorHAnsi" w:hAnsiTheme="minorHAnsi" w:cstheme="minorBidi"/>
          <w:bCs/>
          <w:color w:val="auto"/>
          <w:kern w:val="24"/>
          <w:sz w:val="22"/>
          <w:szCs w:val="22"/>
        </w:rPr>
        <w:t>Questo svantaggio si conferma anche nel confronto nazionale e regionale.</w:t>
      </w:r>
    </w:p>
    <w:p w:rsidR="00B5244E" w:rsidRDefault="00B5244E" w:rsidP="009360E8">
      <w:pPr>
        <w:pStyle w:val="Default"/>
        <w:jc w:val="both"/>
        <w:rPr>
          <w:rFonts w:asciiTheme="minorHAnsi" w:hAnsiTheme="minorHAnsi" w:cstheme="minorBidi"/>
          <w:bCs/>
          <w:color w:val="auto"/>
          <w:kern w:val="24"/>
          <w:sz w:val="22"/>
          <w:szCs w:val="22"/>
        </w:rPr>
      </w:pPr>
    </w:p>
    <w:tbl>
      <w:tblPr>
        <w:tblW w:w="10194" w:type="dxa"/>
        <w:jc w:val="center"/>
        <w:tblInd w:w="55" w:type="dxa"/>
        <w:tblCellMar>
          <w:left w:w="70" w:type="dxa"/>
          <w:right w:w="70" w:type="dxa"/>
        </w:tblCellMar>
        <w:tblLook w:val="04A0" w:firstRow="1" w:lastRow="0" w:firstColumn="1" w:lastColumn="0" w:noHBand="0" w:noVBand="1"/>
      </w:tblPr>
      <w:tblGrid>
        <w:gridCol w:w="5205"/>
        <w:gridCol w:w="4989"/>
      </w:tblGrid>
      <w:tr w:rsidR="00B5244E" w:rsidRPr="006123B0" w:rsidTr="004560CC">
        <w:trPr>
          <w:trHeight w:val="264"/>
          <w:jc w:val="center"/>
        </w:trPr>
        <w:tc>
          <w:tcPr>
            <w:tcW w:w="5205" w:type="dxa"/>
            <w:shd w:val="clear" w:color="auto" w:fill="auto"/>
            <w:vAlign w:val="bottom"/>
          </w:tcPr>
          <w:p w:rsidR="00B5244E" w:rsidRPr="006123B0" w:rsidRDefault="00420BE7" w:rsidP="00960A7C">
            <w:pPr>
              <w:spacing w:after="0" w:line="240" w:lineRule="auto"/>
              <w:rPr>
                <w:rFonts w:ascii="Arial" w:hAnsi="Arial" w:cs="Arial"/>
                <w:noProof/>
                <w:lang w:eastAsia="it-IT"/>
              </w:rPr>
            </w:pPr>
            <w:r>
              <w:rPr>
                <w:noProof/>
                <w:lang w:eastAsia="it-IT"/>
              </w:rPr>
              <w:drawing>
                <wp:inline distT="0" distB="0" distL="0" distR="0" wp14:anchorId="3EF83C00" wp14:editId="5422B0A1">
                  <wp:extent cx="2952750" cy="2190750"/>
                  <wp:effectExtent l="0" t="0" r="19050" b="19050"/>
                  <wp:docPr id="686" name="Grafico 68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c>
          <w:tcPr>
            <w:tcW w:w="4989" w:type="dxa"/>
            <w:shd w:val="clear" w:color="auto" w:fill="auto"/>
            <w:noWrap/>
            <w:vAlign w:val="bottom"/>
          </w:tcPr>
          <w:p w:rsidR="00B5244E" w:rsidRPr="006123B0" w:rsidRDefault="00420BE7" w:rsidP="00960A7C">
            <w:pPr>
              <w:spacing w:after="0" w:line="240" w:lineRule="auto"/>
              <w:jc w:val="center"/>
              <w:rPr>
                <w:rFonts w:ascii="Arial" w:eastAsia="Times New Roman" w:hAnsi="Arial" w:cs="Arial"/>
                <w:color w:val="000000"/>
                <w:lang w:eastAsia="it-IT"/>
              </w:rPr>
            </w:pPr>
            <w:r>
              <w:rPr>
                <w:noProof/>
                <w:lang w:eastAsia="it-IT"/>
              </w:rPr>
              <w:drawing>
                <wp:inline distT="0" distB="0" distL="0" distR="0" wp14:anchorId="51DEE827" wp14:editId="6F7D0DEF">
                  <wp:extent cx="3057525" cy="2305050"/>
                  <wp:effectExtent l="0" t="0" r="9525" b="19050"/>
                  <wp:docPr id="687" name="Grafico 68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rsidR="00B5244E" w:rsidRDefault="00B5244E" w:rsidP="009360E8">
      <w:pPr>
        <w:pStyle w:val="Default"/>
        <w:jc w:val="both"/>
        <w:rPr>
          <w:rFonts w:asciiTheme="minorHAnsi" w:hAnsiTheme="minorHAnsi" w:cstheme="minorBidi"/>
          <w:bCs/>
          <w:color w:val="auto"/>
          <w:kern w:val="24"/>
          <w:sz w:val="22"/>
          <w:szCs w:val="22"/>
        </w:rPr>
      </w:pPr>
    </w:p>
    <w:p w:rsidR="00781C6E" w:rsidRDefault="004560CC" w:rsidP="009360E8">
      <w:pPr>
        <w:pStyle w:val="Default"/>
        <w:jc w:val="both"/>
        <w:rPr>
          <w:rFonts w:asciiTheme="minorHAnsi" w:hAnsiTheme="minorHAnsi" w:cstheme="minorBidi"/>
          <w:bCs/>
          <w:color w:val="auto"/>
          <w:kern w:val="24"/>
          <w:sz w:val="22"/>
          <w:szCs w:val="22"/>
        </w:rPr>
      </w:pPr>
      <w:r>
        <w:rPr>
          <w:rFonts w:asciiTheme="minorHAnsi" w:hAnsiTheme="minorHAnsi" w:cstheme="minorBidi"/>
          <w:bCs/>
          <w:color w:val="auto"/>
          <w:kern w:val="24"/>
          <w:sz w:val="22"/>
          <w:szCs w:val="22"/>
        </w:rPr>
        <w:t>Una FORTE</w:t>
      </w:r>
    </w:p>
    <w:p w:rsidR="00781C6E" w:rsidRDefault="00781C6E" w:rsidP="009360E8">
      <w:pPr>
        <w:pStyle w:val="Default"/>
        <w:jc w:val="both"/>
        <w:rPr>
          <w:rFonts w:asciiTheme="minorHAnsi" w:hAnsiTheme="minorHAnsi" w:cstheme="minorBidi"/>
          <w:bCs/>
          <w:color w:val="auto"/>
          <w:kern w:val="24"/>
          <w:sz w:val="22"/>
          <w:szCs w:val="22"/>
        </w:rPr>
      </w:pPr>
    </w:p>
    <w:p w:rsidR="00B5244E" w:rsidRDefault="00781C6E" w:rsidP="009360E8">
      <w:pPr>
        <w:pStyle w:val="Default"/>
        <w:jc w:val="both"/>
        <w:rPr>
          <w:rFonts w:asciiTheme="minorHAnsi" w:hAnsiTheme="minorHAnsi" w:cstheme="minorBidi"/>
          <w:bCs/>
          <w:color w:val="auto"/>
          <w:kern w:val="24"/>
          <w:sz w:val="22"/>
          <w:szCs w:val="22"/>
        </w:rPr>
      </w:pPr>
      <w:r>
        <w:rPr>
          <w:noProof/>
        </w:rPr>
        <w:drawing>
          <wp:inline distT="0" distB="0" distL="0" distR="0" wp14:anchorId="7CC67451" wp14:editId="35A8C057">
            <wp:extent cx="3095625" cy="2371725"/>
            <wp:effectExtent l="0" t="0" r="9525" b="9525"/>
            <wp:docPr id="680" name="Grafico 680"/>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Pr>
          <w:noProof/>
        </w:rPr>
        <w:drawing>
          <wp:inline distT="0" distB="0" distL="0" distR="0" wp14:anchorId="1ECA469D" wp14:editId="197AA0AE">
            <wp:extent cx="2914650" cy="2371725"/>
            <wp:effectExtent l="0" t="0" r="19050" b="9525"/>
            <wp:docPr id="685" name="Grafico 685"/>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B5244E" w:rsidRDefault="00B5244E" w:rsidP="009360E8">
      <w:pPr>
        <w:pStyle w:val="Default"/>
        <w:jc w:val="both"/>
        <w:rPr>
          <w:rFonts w:asciiTheme="minorHAnsi" w:hAnsiTheme="minorHAnsi" w:cstheme="minorBidi"/>
          <w:bCs/>
          <w:color w:val="auto"/>
          <w:kern w:val="24"/>
          <w:sz w:val="22"/>
          <w:szCs w:val="22"/>
        </w:rPr>
      </w:pPr>
    </w:p>
    <w:p w:rsidR="00CA635F" w:rsidRDefault="00B5244E" w:rsidP="009360E8">
      <w:pPr>
        <w:pStyle w:val="Default"/>
        <w:jc w:val="both"/>
        <w:rPr>
          <w:rFonts w:asciiTheme="minorHAnsi" w:hAnsiTheme="minorHAnsi" w:cstheme="minorBidi"/>
          <w:bCs/>
          <w:color w:val="auto"/>
          <w:kern w:val="24"/>
          <w:sz w:val="22"/>
          <w:szCs w:val="22"/>
        </w:rPr>
      </w:pPr>
      <w:r>
        <w:rPr>
          <w:noProof/>
        </w:rPr>
        <w:drawing>
          <wp:inline distT="0" distB="0" distL="0" distR="0" wp14:anchorId="56FA8E8F" wp14:editId="474D824F">
            <wp:extent cx="3209925" cy="2514600"/>
            <wp:effectExtent l="0" t="0" r="9525" b="19050"/>
            <wp:docPr id="678" name="Grafico 678"/>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Pr>
          <w:noProof/>
        </w:rPr>
        <w:drawing>
          <wp:inline distT="0" distB="0" distL="0" distR="0" wp14:anchorId="108425F8" wp14:editId="03C9F81B">
            <wp:extent cx="2876550" cy="2524125"/>
            <wp:effectExtent l="0" t="0" r="19050" b="9525"/>
            <wp:docPr id="679" name="Grafico 67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D860D1" w:rsidRDefault="00D860D1" w:rsidP="009360E8">
      <w:pPr>
        <w:pStyle w:val="Default"/>
        <w:jc w:val="both"/>
        <w:rPr>
          <w:rFonts w:asciiTheme="minorHAnsi" w:hAnsiTheme="minorHAnsi" w:cstheme="minorBidi"/>
          <w:b/>
          <w:bCs/>
          <w:color w:val="auto"/>
          <w:kern w:val="24"/>
          <w:sz w:val="22"/>
          <w:szCs w:val="22"/>
        </w:rPr>
      </w:pPr>
    </w:p>
    <w:p w:rsidR="00C055E0" w:rsidRPr="00CA635F" w:rsidRDefault="00D860D1" w:rsidP="009360E8">
      <w:pPr>
        <w:pStyle w:val="Default"/>
        <w:jc w:val="both"/>
        <w:rPr>
          <w:rFonts w:asciiTheme="minorHAnsi" w:hAnsiTheme="minorHAnsi" w:cstheme="minorBidi"/>
          <w:bCs/>
          <w:color w:val="auto"/>
          <w:kern w:val="24"/>
          <w:sz w:val="22"/>
          <w:szCs w:val="22"/>
        </w:rPr>
      </w:pPr>
      <w:r>
        <w:rPr>
          <w:rFonts w:asciiTheme="minorHAnsi" w:hAnsiTheme="minorHAnsi" w:cstheme="minorBidi"/>
          <w:b/>
          <w:bCs/>
          <w:color w:val="auto"/>
          <w:kern w:val="24"/>
          <w:sz w:val="22"/>
          <w:szCs w:val="22"/>
        </w:rPr>
        <w:lastRenderedPageBreak/>
        <w:t>Materno-I</w:t>
      </w:r>
      <w:r w:rsidRPr="00B5244E">
        <w:rPr>
          <w:rFonts w:asciiTheme="minorHAnsi" w:hAnsiTheme="minorHAnsi" w:cstheme="minorBidi"/>
          <w:b/>
          <w:bCs/>
          <w:color w:val="auto"/>
          <w:kern w:val="24"/>
          <w:sz w:val="22"/>
          <w:szCs w:val="22"/>
        </w:rPr>
        <w:t>nfantile</w:t>
      </w:r>
    </w:p>
    <w:p w:rsidR="009360E8" w:rsidRPr="00F35B55" w:rsidRDefault="004577B6" w:rsidP="009360E8">
      <w:pPr>
        <w:pStyle w:val="Default"/>
        <w:jc w:val="both"/>
        <w:rPr>
          <w:rFonts w:asciiTheme="minorHAnsi" w:hAnsiTheme="minorHAnsi"/>
          <w:bCs/>
          <w:color w:val="auto"/>
          <w:sz w:val="22"/>
          <w:szCs w:val="22"/>
        </w:rPr>
      </w:pPr>
      <w:r w:rsidRPr="00F35B55">
        <w:rPr>
          <w:rFonts w:asciiTheme="minorHAnsi" w:hAnsiTheme="minorHAnsi" w:cstheme="minorBidi"/>
          <w:bCs/>
          <w:color w:val="auto"/>
          <w:kern w:val="24"/>
          <w:sz w:val="22"/>
          <w:szCs w:val="22"/>
        </w:rPr>
        <w:t xml:space="preserve">La gravidanza e il parto </w:t>
      </w:r>
      <w:r w:rsidR="009360E8" w:rsidRPr="00F35B55">
        <w:rPr>
          <w:rFonts w:asciiTheme="minorHAnsi" w:hAnsiTheme="minorHAnsi" w:cstheme="minorBidi"/>
          <w:bCs/>
          <w:color w:val="auto"/>
          <w:kern w:val="24"/>
          <w:sz w:val="22"/>
          <w:szCs w:val="22"/>
        </w:rPr>
        <w:t xml:space="preserve">sono eventi strettamente collegati tra loro e costituiscono momenti diversi di una medesima condizione organica e psicologica della donna. Questa la ragione principale che ha indotto il Ministero della Salute in primis a discutere di </w:t>
      </w:r>
      <w:r w:rsidR="009360E8" w:rsidRPr="00F35B55">
        <w:rPr>
          <w:rFonts w:asciiTheme="minorHAnsi" w:hAnsiTheme="minorHAnsi" w:cstheme="minorBidi"/>
          <w:bCs/>
          <w:i/>
          <w:color w:val="auto"/>
          <w:kern w:val="24"/>
          <w:sz w:val="22"/>
          <w:szCs w:val="22"/>
        </w:rPr>
        <w:t>Percorso Nascita</w:t>
      </w:r>
      <w:r w:rsidR="009360E8" w:rsidRPr="00F35B55">
        <w:rPr>
          <w:rFonts w:asciiTheme="minorHAnsi" w:hAnsiTheme="minorHAnsi" w:cstheme="minorBidi"/>
          <w:bCs/>
          <w:color w:val="auto"/>
          <w:kern w:val="24"/>
          <w:sz w:val="22"/>
          <w:szCs w:val="22"/>
        </w:rPr>
        <w:t xml:space="preserve"> e non di </w:t>
      </w:r>
      <w:r w:rsidR="009360E8" w:rsidRPr="00F35B55">
        <w:rPr>
          <w:rFonts w:asciiTheme="minorHAnsi" w:hAnsiTheme="minorHAnsi" w:cstheme="minorBidi"/>
          <w:bCs/>
          <w:i/>
          <w:color w:val="auto"/>
          <w:kern w:val="24"/>
          <w:sz w:val="22"/>
          <w:szCs w:val="22"/>
        </w:rPr>
        <w:t>Evento Nascita</w:t>
      </w:r>
      <w:r w:rsidR="009360E8" w:rsidRPr="00F35B55">
        <w:rPr>
          <w:rFonts w:asciiTheme="minorHAnsi" w:hAnsiTheme="minorHAnsi" w:cstheme="minorBidi"/>
          <w:bCs/>
          <w:color w:val="auto"/>
          <w:kern w:val="24"/>
          <w:sz w:val="22"/>
          <w:szCs w:val="22"/>
        </w:rPr>
        <w:t xml:space="preserve">, nella fondata convinzione che l’evento sia momento di un percorso molto più articolato e complesso che parte addirittura prima del concepimento per arrivare ben oltre la nascita del bambino, comprendendo quindi ampiamente anche il periodo dell’allattamento al seno. </w:t>
      </w:r>
    </w:p>
    <w:p w:rsidR="009360E8" w:rsidRPr="00F35B55" w:rsidRDefault="009360E8" w:rsidP="00DD55F9">
      <w:pPr>
        <w:pStyle w:val="Default"/>
        <w:jc w:val="both"/>
        <w:rPr>
          <w:rFonts w:asciiTheme="minorHAnsi" w:hAnsiTheme="minorHAnsi"/>
          <w:bCs/>
          <w:color w:val="auto"/>
          <w:sz w:val="22"/>
          <w:szCs w:val="22"/>
        </w:rPr>
      </w:pPr>
      <w:r w:rsidRPr="00F35B55">
        <w:rPr>
          <w:rFonts w:asciiTheme="minorHAnsi" w:hAnsiTheme="minorHAnsi"/>
          <w:bCs/>
          <w:color w:val="auto"/>
          <w:sz w:val="22"/>
          <w:szCs w:val="22"/>
        </w:rPr>
        <w:t>Questa visione olistica ha prodotto, in atti legislativi a livello nazionale e regionale, indicazioni orientate a considerare l’iter assistenziale nel suo insieme, al fine di fornire suggerimenti per azioni migliorative che, agendo anche in singoli step del percorso, potessero influire positivamente sull’</w:t>
      </w:r>
      <w:r w:rsidRPr="00F35B55">
        <w:rPr>
          <w:rFonts w:asciiTheme="minorHAnsi" w:hAnsiTheme="minorHAnsi"/>
          <w:bCs/>
          <w:i/>
          <w:color w:val="auto"/>
          <w:sz w:val="22"/>
          <w:szCs w:val="22"/>
        </w:rPr>
        <w:t>outcome</w:t>
      </w:r>
      <w:r w:rsidRPr="00F35B55">
        <w:rPr>
          <w:rFonts w:asciiTheme="minorHAnsi" w:hAnsiTheme="minorHAnsi"/>
          <w:bCs/>
          <w:color w:val="auto"/>
          <w:sz w:val="22"/>
          <w:szCs w:val="22"/>
        </w:rPr>
        <w:t xml:space="preserve"> relativo al benessere del neonato e della madre, il che significa anticipare </w:t>
      </w:r>
      <w:r w:rsidR="00B136B2">
        <w:rPr>
          <w:rFonts w:asciiTheme="minorHAnsi" w:hAnsiTheme="minorHAnsi"/>
          <w:bCs/>
          <w:color w:val="auto"/>
          <w:sz w:val="22"/>
          <w:szCs w:val="22"/>
        </w:rPr>
        <w:t>e rendere conseguentemente più efficace</w:t>
      </w:r>
      <w:r w:rsidRPr="00F35B55">
        <w:rPr>
          <w:rFonts w:asciiTheme="minorHAnsi" w:hAnsiTheme="minorHAnsi"/>
          <w:bCs/>
          <w:color w:val="auto"/>
          <w:sz w:val="22"/>
          <w:szCs w:val="22"/>
        </w:rPr>
        <w:t xml:space="preserve"> l’azione preventiva rivolta alle patologie cronico-degenerative dell’età adulta affrontate in precedenza.</w:t>
      </w:r>
    </w:p>
    <w:p w:rsidR="009360E8" w:rsidRPr="00F35B55" w:rsidRDefault="009360E8" w:rsidP="009360E8">
      <w:pPr>
        <w:pStyle w:val="Default"/>
        <w:jc w:val="both"/>
        <w:rPr>
          <w:rFonts w:asciiTheme="minorHAnsi" w:hAnsiTheme="minorHAnsi"/>
          <w:bCs/>
          <w:color w:val="auto"/>
          <w:sz w:val="22"/>
          <w:szCs w:val="22"/>
        </w:rPr>
      </w:pPr>
      <w:r w:rsidRPr="00F35B55">
        <w:rPr>
          <w:rFonts w:asciiTheme="minorHAnsi" w:hAnsiTheme="minorHAnsi"/>
          <w:bCs/>
          <w:color w:val="auto"/>
          <w:sz w:val="22"/>
          <w:szCs w:val="22"/>
        </w:rPr>
        <w:t>Il Percorso Nascita offre quindi una formidabile occasione di promozione della salute complessivamente intesa. È nota infatti la maggiore ricettività delle donne gravide ad una serie di stimoli esterni che possano influire positivamente sulle loro abitudini di vita. Qualsiasi informazione può essere infatti più efficacemente veicolata in questo periodo della vita della donna, dalla nocività del fumo alla prevenzione degli incidenti domestici, dalla corretta alimentazione alla importanza della salubrità ambientale.</w:t>
      </w:r>
    </w:p>
    <w:p w:rsidR="00F35B55" w:rsidRPr="0000647A" w:rsidRDefault="00F35B55" w:rsidP="00F35B55">
      <w:pPr>
        <w:pStyle w:val="Default"/>
        <w:jc w:val="both"/>
        <w:rPr>
          <w:rFonts w:asciiTheme="minorHAnsi" w:hAnsiTheme="minorHAnsi"/>
          <w:bCs/>
          <w:color w:val="auto"/>
          <w:sz w:val="22"/>
          <w:szCs w:val="22"/>
        </w:rPr>
      </w:pPr>
      <w:r w:rsidRPr="00F35B55">
        <w:rPr>
          <w:rFonts w:asciiTheme="minorHAnsi" w:hAnsiTheme="minorHAnsi"/>
          <w:bCs/>
          <w:color w:val="auto"/>
          <w:sz w:val="22"/>
          <w:szCs w:val="22"/>
        </w:rPr>
        <w:t>È ragionevole pensare che in questo modo non solo si possano migliorare gli outcomes, ma anche stabilire dei circoli virtuosi tra informazioni e comportamenti.</w:t>
      </w:r>
    </w:p>
    <w:p w:rsidR="005E3E74" w:rsidRDefault="005E3E74" w:rsidP="00F35B55">
      <w:pPr>
        <w:pStyle w:val="Default"/>
        <w:spacing w:line="240" w:lineRule="atLeast"/>
        <w:jc w:val="both"/>
        <w:rPr>
          <w:rFonts w:asciiTheme="majorHAnsi" w:hAnsiTheme="majorHAnsi"/>
          <w:b/>
          <w:bCs/>
          <w:sz w:val="22"/>
          <w:szCs w:val="22"/>
        </w:rPr>
      </w:pPr>
    </w:p>
    <w:p w:rsidR="005E3E74" w:rsidRPr="00F35B55" w:rsidRDefault="00D860D1" w:rsidP="00F35B55">
      <w:pPr>
        <w:pStyle w:val="Default"/>
        <w:spacing w:line="240" w:lineRule="atLeast"/>
        <w:jc w:val="both"/>
        <w:rPr>
          <w:rFonts w:asciiTheme="minorHAnsi" w:hAnsiTheme="minorHAnsi"/>
          <w:b/>
          <w:bCs/>
          <w:color w:val="auto"/>
          <w:sz w:val="22"/>
          <w:szCs w:val="22"/>
        </w:rPr>
      </w:pPr>
      <w:r>
        <w:rPr>
          <w:rFonts w:asciiTheme="minorHAnsi" w:hAnsiTheme="minorHAnsi"/>
          <w:b/>
          <w:bCs/>
          <w:color w:val="auto"/>
          <w:sz w:val="22"/>
          <w:szCs w:val="22"/>
        </w:rPr>
        <w:t xml:space="preserve">  </w:t>
      </w:r>
      <w:r w:rsidR="005E3E74" w:rsidRPr="00F35B55">
        <w:rPr>
          <w:rFonts w:asciiTheme="minorHAnsi" w:hAnsiTheme="minorHAnsi"/>
          <w:b/>
          <w:bCs/>
          <w:color w:val="auto"/>
          <w:sz w:val="22"/>
          <w:szCs w:val="22"/>
        </w:rPr>
        <w:t>La popolazione fertile</w:t>
      </w:r>
    </w:p>
    <w:p w:rsidR="005E3E74" w:rsidRPr="00F35B55" w:rsidRDefault="005E3E74" w:rsidP="00F35B55">
      <w:pPr>
        <w:spacing w:after="0" w:line="240" w:lineRule="atLeast"/>
        <w:jc w:val="both"/>
        <w:rPr>
          <w:rStyle w:val="st1"/>
          <w:rFonts w:cs="Arial"/>
        </w:rPr>
      </w:pPr>
      <w:r w:rsidRPr="00F35B55">
        <w:rPr>
          <w:rStyle w:val="st1"/>
          <w:rFonts w:cs="Arial"/>
        </w:rPr>
        <w:t>Come noto, lo stato di salute materno influenza in modo importante l’esito della gravidanza e l’</w:t>
      </w:r>
      <w:r w:rsidRPr="00F35B55">
        <w:rPr>
          <w:rStyle w:val="st1"/>
          <w:rFonts w:cs="Arial"/>
          <w:i/>
        </w:rPr>
        <w:t>outcome</w:t>
      </w:r>
      <w:r w:rsidRPr="00F35B55">
        <w:rPr>
          <w:rStyle w:val="st1"/>
          <w:rFonts w:cs="Arial"/>
        </w:rPr>
        <w:t xml:space="preserve"> neonatale.</w:t>
      </w:r>
    </w:p>
    <w:p w:rsidR="005E3E74" w:rsidRPr="00F35B55" w:rsidRDefault="005E3E74" w:rsidP="00F35B55">
      <w:pPr>
        <w:spacing w:after="0" w:line="240" w:lineRule="atLeast"/>
        <w:jc w:val="both"/>
        <w:rPr>
          <w:rStyle w:val="st1"/>
          <w:rFonts w:cs="Arial"/>
        </w:rPr>
      </w:pPr>
      <w:r w:rsidRPr="00F35B55">
        <w:rPr>
          <w:rStyle w:val="st1"/>
          <w:rFonts w:cs="Arial"/>
        </w:rPr>
        <w:t xml:space="preserve">La tabella che segue esprime in termini di </w:t>
      </w:r>
      <w:r w:rsidRPr="00F35B55">
        <w:rPr>
          <w:rStyle w:val="st1"/>
          <w:rFonts w:cs="Arial"/>
          <w:i/>
        </w:rPr>
        <w:t>Odds Ratio</w:t>
      </w:r>
      <w:r w:rsidRPr="00F35B55">
        <w:rPr>
          <w:rStyle w:val="st1"/>
          <w:rFonts w:cs="Arial"/>
        </w:rPr>
        <w:t xml:space="preserve">, ovvero di rischio inteso come “probabilità in più” di subire gli eventi avversi della riproduzione (EAR) (riportati in </w:t>
      </w:r>
      <w:r w:rsidR="00AC055A">
        <w:rPr>
          <w:rStyle w:val="st1"/>
          <w:rFonts w:cs="Arial"/>
        </w:rPr>
        <w:t>riga</w:t>
      </w:r>
      <w:r w:rsidRPr="00F35B55">
        <w:rPr>
          <w:rStyle w:val="st1"/>
          <w:rFonts w:cs="Arial"/>
        </w:rPr>
        <w:t>) che</w:t>
      </w:r>
      <w:r w:rsidR="00ED3224">
        <w:rPr>
          <w:rStyle w:val="st1"/>
          <w:rFonts w:cs="Arial"/>
        </w:rPr>
        <w:t xml:space="preserve"> nel nostro territorio </w:t>
      </w:r>
      <w:r w:rsidRPr="00F35B55">
        <w:rPr>
          <w:rStyle w:val="st1"/>
          <w:rFonts w:cs="Arial"/>
        </w:rPr>
        <w:t xml:space="preserve"> corrono le donne gravide affette da patologie croniche (descritte in </w:t>
      </w:r>
      <w:r w:rsidR="00AC055A">
        <w:rPr>
          <w:rStyle w:val="st1"/>
          <w:rFonts w:cs="Arial"/>
        </w:rPr>
        <w:t>colonna</w:t>
      </w:r>
      <w:r w:rsidRPr="00F35B55">
        <w:rPr>
          <w:rStyle w:val="st1"/>
          <w:rFonts w:cs="Arial"/>
        </w:rPr>
        <w:t>) rispetto a quelle che non lo sono.</w:t>
      </w:r>
    </w:p>
    <w:p w:rsidR="005E3E74" w:rsidRPr="00F35B55" w:rsidRDefault="005E3E74" w:rsidP="00F35B55">
      <w:pPr>
        <w:spacing w:after="0" w:line="240" w:lineRule="atLeast"/>
        <w:jc w:val="both"/>
        <w:rPr>
          <w:rStyle w:val="st1"/>
          <w:rFonts w:cs="Arial"/>
        </w:rPr>
      </w:pPr>
      <w:r w:rsidRPr="00F35B55">
        <w:rPr>
          <w:rStyle w:val="st1"/>
          <w:rFonts w:cs="Arial"/>
        </w:rPr>
        <w:t>Il valore di OR &gt;1 indica “le volte in più” in cui si corre il rischio, per cui ad esempio l’OR riferito alle Malformazioni Congenite (MC) pari a 2,06 nelle diabetiche dice che per queste donne la probabilità di generare figli affetti da malformazioni congenite è più che doppia rispetto alle donne che diabetiche non sono.</w:t>
      </w:r>
      <w:r w:rsidR="000C5A52" w:rsidRPr="00F35B55">
        <w:rPr>
          <w:rStyle w:val="st1"/>
          <w:rFonts w:cs="Arial"/>
        </w:rPr>
        <w:t xml:space="preserve"> </w:t>
      </w:r>
      <w:r w:rsidRPr="00F35B55">
        <w:rPr>
          <w:rStyle w:val="st1"/>
          <w:rFonts w:cs="Arial"/>
        </w:rPr>
        <w:t>La deprivazione socio-economica,  accodata alle patologie croniche, è stata ottenuta  dalla presenza o meno di esenzione per reddito o per status (disoccupata, in mobilità ecc).</w:t>
      </w:r>
    </w:p>
    <w:p w:rsidR="005E3E74" w:rsidRDefault="005E3E74" w:rsidP="00F35B55">
      <w:pPr>
        <w:spacing w:after="0" w:line="240" w:lineRule="atLeast"/>
        <w:jc w:val="both"/>
        <w:rPr>
          <w:rStyle w:val="st1"/>
          <w:rFonts w:cs="Arial"/>
          <w:i/>
        </w:rPr>
      </w:pPr>
      <w:r w:rsidRPr="00F35B55">
        <w:rPr>
          <w:rStyle w:val="st1"/>
          <w:rFonts w:cs="Arial"/>
        </w:rPr>
        <w:t xml:space="preserve">È chiara e netta l’associazione causale che intercorre tra patologie croniche della madre e potenziale esito avverso della riproduzione, da cui il fondamento oggettivo  dell’affermazione che la </w:t>
      </w:r>
      <w:r w:rsidRPr="00F35B55">
        <w:rPr>
          <w:rStyle w:val="st1"/>
          <w:rFonts w:cs="Arial"/>
          <w:i/>
        </w:rPr>
        <w:t>“salute al femminile è la salute di tutti”.</w:t>
      </w:r>
    </w:p>
    <w:p w:rsidR="00F35B55" w:rsidRPr="00F35B55" w:rsidRDefault="00F35B55" w:rsidP="00F35B55">
      <w:pPr>
        <w:spacing w:after="0" w:line="240" w:lineRule="atLeast"/>
        <w:jc w:val="both"/>
        <w:rPr>
          <w:rStyle w:val="st1"/>
          <w:rFonts w:cs="Arial"/>
        </w:rPr>
      </w:pPr>
    </w:p>
    <w:tbl>
      <w:tblPr>
        <w:tblW w:w="8518" w:type="dxa"/>
        <w:jc w:val="center"/>
        <w:tblCellMar>
          <w:left w:w="0" w:type="dxa"/>
          <w:right w:w="0" w:type="dxa"/>
        </w:tblCellMar>
        <w:tblLook w:val="0600" w:firstRow="0" w:lastRow="0" w:firstColumn="0" w:lastColumn="0" w:noHBand="1" w:noVBand="1"/>
      </w:tblPr>
      <w:tblGrid>
        <w:gridCol w:w="2368"/>
        <w:gridCol w:w="1350"/>
        <w:gridCol w:w="1517"/>
        <w:gridCol w:w="1325"/>
        <w:gridCol w:w="653"/>
        <w:gridCol w:w="1305"/>
      </w:tblGrid>
      <w:tr w:rsidR="00F35B55" w:rsidRPr="00F35B55" w:rsidTr="00F35B55">
        <w:trPr>
          <w:trHeight w:val="272"/>
          <w:jc w:val="center"/>
        </w:trPr>
        <w:tc>
          <w:tcPr>
            <w:tcW w:w="23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F35B55">
            <w:pPr>
              <w:spacing w:line="300" w:lineRule="atLeast"/>
              <w:textAlignment w:val="bottom"/>
              <w:rPr>
                <w:rFonts w:eastAsia="Times New Roman" w:cs="Arial"/>
              </w:rPr>
            </w:pPr>
            <w:r w:rsidRPr="00F35B55">
              <w:rPr>
                <w:rFonts w:eastAsia="Times New Roman" w:cs="Arial"/>
                <w:b/>
                <w:bCs/>
                <w:kern w:val="24"/>
              </w:rPr>
              <w:t> </w:t>
            </w:r>
            <w:r w:rsidR="00F35B55">
              <w:rPr>
                <w:rFonts w:eastAsia="Times New Roman" w:cs="Arial"/>
                <w:b/>
                <w:bCs/>
                <w:kern w:val="24"/>
              </w:rPr>
              <w:t>EAR</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rPr>
            </w:pPr>
            <w:r w:rsidRPr="00F35B55">
              <w:rPr>
                <w:rFonts w:eastAsia="Times New Roman" w:cs="Arial"/>
                <w:b/>
                <w:bCs/>
                <w:kern w:val="24"/>
              </w:rPr>
              <w:t>diabete</w:t>
            </w:r>
          </w:p>
        </w:tc>
        <w:tc>
          <w:tcPr>
            <w:tcW w:w="15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rPr>
            </w:pPr>
            <w:r w:rsidRPr="00F35B55">
              <w:rPr>
                <w:rFonts w:eastAsia="Times New Roman" w:cs="Arial"/>
                <w:b/>
                <w:bCs/>
                <w:kern w:val="24"/>
              </w:rPr>
              <w:t>ipertensione</w:t>
            </w:r>
          </w:p>
        </w:tc>
        <w:tc>
          <w:tcPr>
            <w:tcW w:w="13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rPr>
            </w:pPr>
            <w:r w:rsidRPr="00F35B55">
              <w:rPr>
                <w:rFonts w:eastAsia="Times New Roman" w:cs="Arial"/>
                <w:b/>
                <w:bCs/>
                <w:kern w:val="24"/>
              </w:rPr>
              <w:t>dislipidemia</w:t>
            </w:r>
          </w:p>
        </w:tc>
        <w:tc>
          <w:tcPr>
            <w:tcW w:w="6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rPr>
            </w:pPr>
            <w:r w:rsidRPr="00F35B55">
              <w:rPr>
                <w:rFonts w:eastAsia="Times New Roman" w:cs="Arial"/>
                <w:b/>
                <w:bCs/>
                <w:kern w:val="24"/>
              </w:rPr>
              <w:t>asma</w:t>
            </w: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rPr>
            </w:pPr>
            <w:r w:rsidRPr="00F35B55">
              <w:rPr>
                <w:rFonts w:eastAsia="Times New Roman" w:cs="Arial"/>
                <w:b/>
                <w:bCs/>
                <w:kern w:val="24"/>
              </w:rPr>
              <w:t>deprivazione</w:t>
            </w:r>
          </w:p>
        </w:tc>
      </w:tr>
      <w:tr w:rsidR="00F35B55" w:rsidRPr="00F35B55" w:rsidTr="00F35B55">
        <w:trPr>
          <w:trHeight w:val="272"/>
          <w:jc w:val="center"/>
        </w:trPr>
        <w:tc>
          <w:tcPr>
            <w:tcW w:w="23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textAlignment w:val="bottom"/>
              <w:rPr>
                <w:rFonts w:eastAsia="Times New Roman" w:cs="Arial"/>
              </w:rPr>
            </w:pPr>
            <w:r w:rsidRPr="00F35B55">
              <w:rPr>
                <w:rFonts w:eastAsia="Times New Roman" w:cs="Arial"/>
                <w:b/>
                <w:bCs/>
                <w:kern w:val="24"/>
              </w:rPr>
              <w:t>Nato di basso peso</w:t>
            </w:r>
          </w:p>
        </w:tc>
        <w:tc>
          <w:tcPr>
            <w:tcW w:w="1350" w:type="dxa"/>
            <w:tcBorders>
              <w:top w:val="single" w:sz="4" w:space="0" w:color="000000"/>
              <w:left w:val="single" w:sz="4" w:space="0" w:color="000000"/>
              <w:bottom w:val="single" w:sz="4" w:space="0" w:color="000000"/>
              <w:right w:val="single" w:sz="4" w:space="0" w:color="000000"/>
            </w:tcBorders>
            <w:shd w:val="clear" w:color="auto" w:fill="DDD9C3"/>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 </w:t>
            </w:r>
          </w:p>
        </w:tc>
        <w:tc>
          <w:tcPr>
            <w:tcW w:w="15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5,64</w:t>
            </w:r>
          </w:p>
        </w:tc>
        <w:tc>
          <w:tcPr>
            <w:tcW w:w="13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4,52</w:t>
            </w:r>
          </w:p>
        </w:tc>
        <w:tc>
          <w:tcPr>
            <w:tcW w:w="6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2,63</w:t>
            </w:r>
          </w:p>
        </w:tc>
        <w:tc>
          <w:tcPr>
            <w:tcW w:w="1305" w:type="dxa"/>
            <w:tcBorders>
              <w:top w:val="single" w:sz="4" w:space="0" w:color="000000"/>
              <w:left w:val="single" w:sz="4" w:space="0" w:color="000000"/>
              <w:bottom w:val="single" w:sz="4" w:space="0" w:color="000000"/>
              <w:right w:val="single" w:sz="4" w:space="0" w:color="000000"/>
            </w:tcBorders>
            <w:shd w:val="clear" w:color="auto" w:fill="DDD9C3"/>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 </w:t>
            </w:r>
          </w:p>
        </w:tc>
      </w:tr>
      <w:tr w:rsidR="00F35B55" w:rsidRPr="00F35B55" w:rsidTr="00F35B55">
        <w:trPr>
          <w:trHeight w:val="272"/>
          <w:jc w:val="center"/>
        </w:trPr>
        <w:tc>
          <w:tcPr>
            <w:tcW w:w="23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textAlignment w:val="bottom"/>
              <w:rPr>
                <w:rFonts w:eastAsia="Times New Roman" w:cs="Arial"/>
              </w:rPr>
            </w:pPr>
            <w:r w:rsidRPr="00F35B55">
              <w:rPr>
                <w:rFonts w:eastAsia="Times New Roman" w:cs="Arial"/>
                <w:b/>
                <w:bCs/>
                <w:kern w:val="24"/>
              </w:rPr>
              <w:t>Nato pretermine</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1,51</w:t>
            </w:r>
          </w:p>
        </w:tc>
        <w:tc>
          <w:tcPr>
            <w:tcW w:w="15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5,57</w:t>
            </w:r>
          </w:p>
        </w:tc>
        <w:tc>
          <w:tcPr>
            <w:tcW w:w="13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5,31</w:t>
            </w:r>
          </w:p>
        </w:tc>
        <w:tc>
          <w:tcPr>
            <w:tcW w:w="6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3,46</w:t>
            </w:r>
          </w:p>
        </w:tc>
        <w:tc>
          <w:tcPr>
            <w:tcW w:w="1305" w:type="dxa"/>
            <w:tcBorders>
              <w:top w:val="single" w:sz="4" w:space="0" w:color="000000"/>
              <w:left w:val="single" w:sz="4" w:space="0" w:color="000000"/>
              <w:bottom w:val="single" w:sz="4" w:space="0" w:color="000000"/>
              <w:right w:val="single" w:sz="4" w:space="0" w:color="000000"/>
            </w:tcBorders>
            <w:shd w:val="clear" w:color="auto" w:fill="DDD9C3"/>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kern w:val="24"/>
                <w:sz w:val="20"/>
                <w:szCs w:val="20"/>
              </w:rPr>
              <w:t> </w:t>
            </w:r>
          </w:p>
        </w:tc>
      </w:tr>
      <w:tr w:rsidR="00F35B55" w:rsidRPr="00F35B55" w:rsidTr="00F35B55">
        <w:trPr>
          <w:trHeight w:val="272"/>
          <w:jc w:val="center"/>
        </w:trPr>
        <w:tc>
          <w:tcPr>
            <w:tcW w:w="23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textAlignment w:val="bottom"/>
              <w:rPr>
                <w:rFonts w:eastAsia="Times New Roman" w:cs="Arial"/>
              </w:rPr>
            </w:pPr>
            <w:r w:rsidRPr="00F35B55">
              <w:rPr>
                <w:rFonts w:eastAsia="Times New Roman" w:cs="Arial"/>
                <w:b/>
                <w:bCs/>
                <w:kern w:val="24"/>
              </w:rPr>
              <w:t>MC nei nati</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b/>
                <w:bCs/>
                <w:kern w:val="24"/>
                <w:sz w:val="20"/>
                <w:szCs w:val="20"/>
              </w:rPr>
              <w:t>2,06</w:t>
            </w:r>
          </w:p>
        </w:tc>
        <w:tc>
          <w:tcPr>
            <w:tcW w:w="1517" w:type="dxa"/>
            <w:tcBorders>
              <w:top w:val="single" w:sz="4" w:space="0" w:color="000000"/>
              <w:left w:val="single" w:sz="4" w:space="0" w:color="000000"/>
              <w:bottom w:val="single" w:sz="4" w:space="0" w:color="000000"/>
              <w:right w:val="single" w:sz="4" w:space="0" w:color="000000"/>
            </w:tcBorders>
            <w:shd w:val="clear" w:color="auto" w:fill="DDD9C3"/>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kern w:val="24"/>
                <w:sz w:val="20"/>
                <w:szCs w:val="20"/>
              </w:rPr>
              <w:t> </w:t>
            </w:r>
          </w:p>
        </w:tc>
        <w:tc>
          <w:tcPr>
            <w:tcW w:w="1325" w:type="dxa"/>
            <w:tcBorders>
              <w:top w:val="single" w:sz="4" w:space="0" w:color="000000"/>
              <w:left w:val="single" w:sz="4" w:space="0" w:color="000000"/>
              <w:bottom w:val="single" w:sz="4" w:space="0" w:color="000000"/>
              <w:right w:val="single" w:sz="4" w:space="0" w:color="000000"/>
            </w:tcBorders>
            <w:shd w:val="clear" w:color="auto" w:fill="DDD9C3"/>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kern w:val="24"/>
                <w:sz w:val="20"/>
                <w:szCs w:val="20"/>
              </w:rPr>
              <w:t> </w:t>
            </w:r>
          </w:p>
        </w:tc>
        <w:tc>
          <w:tcPr>
            <w:tcW w:w="653" w:type="dxa"/>
            <w:tcBorders>
              <w:top w:val="single" w:sz="4" w:space="0" w:color="000000"/>
              <w:left w:val="single" w:sz="4" w:space="0" w:color="000000"/>
              <w:bottom w:val="single" w:sz="4" w:space="0" w:color="000000"/>
              <w:right w:val="single" w:sz="4" w:space="0" w:color="000000"/>
            </w:tcBorders>
            <w:shd w:val="clear" w:color="auto" w:fill="DDD9C3"/>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kern w:val="24"/>
                <w:sz w:val="20"/>
                <w:szCs w:val="20"/>
              </w:rPr>
              <w:t> </w:t>
            </w:r>
          </w:p>
        </w:tc>
        <w:tc>
          <w:tcPr>
            <w:tcW w:w="1305" w:type="dxa"/>
            <w:tcBorders>
              <w:top w:val="single" w:sz="4" w:space="0" w:color="000000"/>
              <w:left w:val="single" w:sz="4" w:space="0" w:color="000000"/>
              <w:bottom w:val="single" w:sz="4" w:space="0" w:color="000000"/>
              <w:right w:val="single" w:sz="4" w:space="0" w:color="000000"/>
            </w:tcBorders>
            <w:shd w:val="clear" w:color="auto" w:fill="DDD9C3"/>
            <w:tcMar>
              <w:top w:w="15" w:type="dxa"/>
              <w:left w:w="15" w:type="dxa"/>
              <w:bottom w:w="0" w:type="dxa"/>
              <w:right w:w="15" w:type="dxa"/>
            </w:tcMar>
            <w:vAlign w:val="bottom"/>
            <w:hideMark/>
          </w:tcPr>
          <w:p w:rsidR="005E3E74" w:rsidRPr="00F35B55" w:rsidRDefault="005E3E74" w:rsidP="005A0025">
            <w:pPr>
              <w:spacing w:line="300" w:lineRule="atLeast"/>
              <w:jc w:val="center"/>
              <w:textAlignment w:val="bottom"/>
              <w:rPr>
                <w:rFonts w:eastAsia="Times New Roman" w:cs="Arial"/>
                <w:sz w:val="20"/>
                <w:szCs w:val="20"/>
              </w:rPr>
            </w:pPr>
            <w:r w:rsidRPr="00F35B55">
              <w:rPr>
                <w:rFonts w:eastAsia="Times New Roman" w:cs="Arial"/>
                <w:kern w:val="24"/>
                <w:sz w:val="20"/>
                <w:szCs w:val="20"/>
              </w:rPr>
              <w:t> </w:t>
            </w:r>
          </w:p>
        </w:tc>
      </w:tr>
    </w:tbl>
    <w:p w:rsidR="00F347C0" w:rsidRDefault="00F347C0" w:rsidP="005E3E74">
      <w:pPr>
        <w:pStyle w:val="Default"/>
        <w:jc w:val="both"/>
        <w:rPr>
          <w:rFonts w:asciiTheme="minorHAnsi" w:hAnsiTheme="minorHAnsi"/>
          <w:bCs/>
          <w:color w:val="FF0000"/>
          <w:sz w:val="22"/>
          <w:szCs w:val="22"/>
        </w:rPr>
      </w:pPr>
    </w:p>
    <w:p w:rsidR="00F347C0" w:rsidRDefault="00F347C0" w:rsidP="005E3E74">
      <w:pPr>
        <w:pStyle w:val="Default"/>
        <w:jc w:val="both"/>
        <w:rPr>
          <w:rFonts w:asciiTheme="minorHAnsi" w:hAnsiTheme="minorHAnsi"/>
          <w:bCs/>
          <w:color w:val="FF0000"/>
          <w:sz w:val="22"/>
          <w:szCs w:val="22"/>
        </w:rPr>
      </w:pPr>
    </w:p>
    <w:p w:rsidR="00F347C0" w:rsidRDefault="00F347C0" w:rsidP="005E3E74">
      <w:pPr>
        <w:pStyle w:val="Default"/>
        <w:jc w:val="both"/>
        <w:rPr>
          <w:rFonts w:asciiTheme="minorHAnsi" w:hAnsiTheme="minorHAnsi"/>
          <w:bCs/>
          <w:color w:val="FF0000"/>
          <w:sz w:val="22"/>
          <w:szCs w:val="22"/>
        </w:rPr>
      </w:pPr>
    </w:p>
    <w:p w:rsidR="00F347C0" w:rsidRDefault="00F347C0" w:rsidP="005E3E74">
      <w:pPr>
        <w:pStyle w:val="Default"/>
        <w:jc w:val="both"/>
        <w:rPr>
          <w:rFonts w:asciiTheme="minorHAnsi" w:hAnsiTheme="minorHAnsi"/>
          <w:bCs/>
          <w:color w:val="FF0000"/>
          <w:sz w:val="22"/>
          <w:szCs w:val="22"/>
        </w:rPr>
      </w:pPr>
    </w:p>
    <w:p w:rsidR="00F347C0" w:rsidRDefault="00F347C0" w:rsidP="005E3E74">
      <w:pPr>
        <w:pStyle w:val="Default"/>
        <w:jc w:val="both"/>
        <w:rPr>
          <w:rFonts w:asciiTheme="minorHAnsi" w:hAnsiTheme="minorHAnsi"/>
          <w:bCs/>
          <w:color w:val="FF0000"/>
          <w:sz w:val="22"/>
          <w:szCs w:val="22"/>
        </w:rPr>
      </w:pPr>
    </w:p>
    <w:p w:rsidR="005E3E74" w:rsidRPr="000E247D" w:rsidRDefault="005E3E74" w:rsidP="005E3E74">
      <w:pPr>
        <w:pStyle w:val="Default"/>
        <w:jc w:val="both"/>
        <w:rPr>
          <w:rFonts w:asciiTheme="minorHAnsi" w:hAnsiTheme="minorHAnsi"/>
          <w:bCs/>
          <w:color w:val="auto"/>
          <w:sz w:val="22"/>
          <w:szCs w:val="22"/>
        </w:rPr>
      </w:pPr>
      <w:r w:rsidRPr="000E247D">
        <w:rPr>
          <w:rFonts w:asciiTheme="minorHAnsi" w:hAnsiTheme="minorHAnsi"/>
          <w:bCs/>
          <w:color w:val="auto"/>
          <w:sz w:val="22"/>
          <w:szCs w:val="22"/>
        </w:rPr>
        <w:t>Come si evince dalla sottostante rappresentazione, la quota di popolazione target italiana, pari all’80%, genera il 64.9 % dei parti, mentre quella straniera, pari al 20% e quindi numericamente di molto inferiore, raggiunge ben il 35,1%, producendo di conseguenza un rapporto nettamente a favore di quest’ultima.</w:t>
      </w:r>
    </w:p>
    <w:p w:rsidR="005E3E74" w:rsidRPr="000E247D" w:rsidRDefault="005E3E74" w:rsidP="005E3E74">
      <w:pPr>
        <w:pStyle w:val="Default"/>
        <w:jc w:val="both"/>
        <w:rPr>
          <w:rFonts w:asciiTheme="minorHAnsi" w:hAnsiTheme="minorHAnsi"/>
          <w:bCs/>
          <w:color w:val="auto"/>
          <w:sz w:val="22"/>
          <w:szCs w:val="22"/>
        </w:rPr>
      </w:pPr>
    </w:p>
    <w:p w:rsidR="005E3E74" w:rsidRPr="005E3E74" w:rsidRDefault="005E3E74" w:rsidP="005E3E74">
      <w:pPr>
        <w:pStyle w:val="Default"/>
        <w:jc w:val="both"/>
        <w:rPr>
          <w:rFonts w:asciiTheme="minorHAnsi" w:hAnsiTheme="minorHAnsi"/>
          <w:bCs/>
          <w:color w:val="auto"/>
          <w:sz w:val="22"/>
          <w:szCs w:val="22"/>
        </w:rPr>
      </w:pPr>
    </w:p>
    <w:p w:rsidR="005E3E74" w:rsidRPr="005E3E74" w:rsidRDefault="005E3E74" w:rsidP="005E3E74">
      <w:pPr>
        <w:pStyle w:val="Default"/>
        <w:jc w:val="both"/>
        <w:rPr>
          <w:rFonts w:asciiTheme="minorHAnsi" w:hAnsiTheme="minorHAnsi"/>
          <w:bCs/>
          <w:color w:val="auto"/>
          <w:sz w:val="20"/>
          <w:szCs w:val="20"/>
        </w:rPr>
      </w:pPr>
      <w:r w:rsidRPr="005E3E74">
        <w:rPr>
          <w:rFonts w:asciiTheme="minorHAnsi" w:hAnsiTheme="minorHAnsi"/>
          <w:b/>
          <w:bCs/>
          <w:color w:val="auto"/>
          <w:sz w:val="20"/>
          <w:szCs w:val="20"/>
        </w:rPr>
        <w:t xml:space="preserve">Popolazione F 15-49 anni                                                                        Mamme </w:t>
      </w:r>
    </w:p>
    <w:p w:rsidR="005E3E74" w:rsidRPr="005E3E74" w:rsidRDefault="005E3E74" w:rsidP="005E3E74">
      <w:pPr>
        <w:pStyle w:val="Default"/>
        <w:jc w:val="both"/>
        <w:rPr>
          <w:rFonts w:asciiTheme="minorHAnsi" w:hAnsiTheme="minorHAnsi"/>
          <w:bCs/>
          <w:color w:val="auto"/>
          <w:sz w:val="20"/>
          <w:szCs w:val="20"/>
        </w:rPr>
      </w:pPr>
      <w:r w:rsidRPr="005E3E74">
        <w:rPr>
          <w:rFonts w:asciiTheme="minorHAnsi" w:hAnsiTheme="minorHAnsi" w:cstheme="minorBidi"/>
          <w:bCs/>
          <w:noProof/>
          <w:color w:val="FF0000"/>
          <w:kern w:val="24"/>
          <w:sz w:val="22"/>
          <w:szCs w:val="22"/>
        </w:rPr>
        <w:drawing>
          <wp:inline distT="0" distB="0" distL="0" distR="0" wp14:anchorId="20138AE0" wp14:editId="28C37E61">
            <wp:extent cx="3324225" cy="1857375"/>
            <wp:effectExtent l="0" t="0" r="9525" b="9525"/>
            <wp:docPr id="40" name="Grafico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Pr="005E3E74">
        <w:rPr>
          <w:rFonts w:asciiTheme="minorHAnsi" w:hAnsiTheme="minorHAnsi" w:cstheme="minorBidi"/>
          <w:bCs/>
          <w:color w:val="FF0000"/>
          <w:kern w:val="24"/>
          <w:sz w:val="22"/>
          <w:szCs w:val="22"/>
        </w:rPr>
        <w:t xml:space="preserve"> </w:t>
      </w:r>
      <w:r w:rsidRPr="005E3E74">
        <w:rPr>
          <w:rFonts w:asciiTheme="minorHAnsi" w:hAnsiTheme="minorHAnsi" w:cstheme="minorBidi"/>
          <w:bCs/>
          <w:noProof/>
          <w:color w:val="FF0000"/>
          <w:kern w:val="24"/>
          <w:sz w:val="22"/>
          <w:szCs w:val="22"/>
        </w:rPr>
        <w:drawing>
          <wp:inline distT="0" distB="0" distL="0" distR="0" wp14:anchorId="6ED42242" wp14:editId="5B3321B4">
            <wp:extent cx="2619375" cy="1857375"/>
            <wp:effectExtent l="0" t="0" r="9525" b="9525"/>
            <wp:docPr id="42" name="Gra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923090" w:rsidRDefault="00923090" w:rsidP="004D2786">
      <w:pPr>
        <w:pStyle w:val="Nessunaspaziatura"/>
        <w:jc w:val="both"/>
        <w:rPr>
          <w:b/>
          <w:color w:val="FF0000"/>
        </w:rPr>
      </w:pPr>
    </w:p>
    <w:p w:rsidR="00B81A47" w:rsidRPr="000E247D" w:rsidRDefault="00B81A47" w:rsidP="00B81A47">
      <w:pPr>
        <w:spacing w:after="0"/>
        <w:jc w:val="both"/>
      </w:pPr>
      <w:r w:rsidRPr="000E247D">
        <w:t>Sostanziale è anche la diversa composizione per classi di età nel confronto italiane/straniere della popolazione target. Decisamente più attempate risultano infatti le mamme italiane, come di seguito analiticamente evidenziato.</w:t>
      </w:r>
    </w:p>
    <w:p w:rsidR="00B81A47" w:rsidRPr="000E247D" w:rsidRDefault="00B81A47" w:rsidP="00B81A47"/>
    <w:tbl>
      <w:tblPr>
        <w:tblW w:w="5574" w:type="dxa"/>
        <w:jc w:val="center"/>
        <w:tblCellMar>
          <w:left w:w="0" w:type="dxa"/>
          <w:right w:w="0" w:type="dxa"/>
        </w:tblCellMar>
        <w:tblLook w:val="0600" w:firstRow="0" w:lastRow="0" w:firstColumn="0" w:lastColumn="0" w:noHBand="1" w:noVBand="1"/>
      </w:tblPr>
      <w:tblGrid>
        <w:gridCol w:w="2934"/>
        <w:gridCol w:w="1320"/>
        <w:gridCol w:w="1320"/>
      </w:tblGrid>
      <w:tr w:rsidR="000E247D" w:rsidRPr="000E247D" w:rsidTr="000E247D">
        <w:trPr>
          <w:trHeight w:val="157"/>
          <w:jc w:val="center"/>
        </w:trPr>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both"/>
              <w:rPr>
                <w:rFonts w:cs="Arial"/>
                <w:b/>
              </w:rPr>
            </w:pPr>
            <w:r w:rsidRPr="000E247D">
              <w:rPr>
                <w:rFonts w:cs="Arial"/>
                <w:b/>
              </w:rPr>
              <w:t>Classi di età</w:t>
            </w:r>
          </w:p>
          <w:p w:rsidR="00B81A47" w:rsidRPr="000E247D" w:rsidRDefault="00B81A47" w:rsidP="005A0025">
            <w:pPr>
              <w:jc w:val="both"/>
              <w:rPr>
                <w:rFonts w:cs="Arial"/>
                <w:b/>
              </w:rPr>
            </w:pPr>
            <w:r w:rsidRPr="000E247D">
              <w:rPr>
                <w:rFonts w:cs="Arial"/>
                <w:b/>
              </w:rPr>
              <w:t xml:space="preserve"> pop femminile 15-49 aa</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b/>
              </w:rPr>
            </w:pPr>
            <w:r w:rsidRPr="000E247D">
              <w:rPr>
                <w:rFonts w:cs="Arial"/>
                <w:b/>
              </w:rPr>
              <w:t>% Mamme</w:t>
            </w:r>
          </w:p>
          <w:p w:rsidR="00B81A47" w:rsidRPr="000E247D" w:rsidRDefault="00B81A47" w:rsidP="005A0025">
            <w:pPr>
              <w:jc w:val="center"/>
              <w:rPr>
                <w:rFonts w:cs="Arial"/>
                <w:b/>
              </w:rPr>
            </w:pPr>
            <w:r w:rsidRPr="000E247D">
              <w:rPr>
                <w:rFonts w:cs="Arial"/>
                <w:b/>
              </w:rPr>
              <w:t>Italiane</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b/>
              </w:rPr>
            </w:pPr>
            <w:r w:rsidRPr="000E247D">
              <w:rPr>
                <w:rFonts w:cs="Arial"/>
                <w:noProof/>
                <w:lang w:eastAsia="it-IT"/>
              </w:rPr>
              <mc:AlternateContent>
                <mc:Choice Requires="wps">
                  <w:drawing>
                    <wp:anchor distT="0" distB="0" distL="114300" distR="114300" simplePos="0" relativeHeight="251689984" behindDoc="0" locked="0" layoutInCell="1" allowOverlap="1" wp14:anchorId="710D480A" wp14:editId="2591A7B0">
                      <wp:simplePos x="0" y="0"/>
                      <wp:positionH relativeFrom="column">
                        <wp:posOffset>3422015</wp:posOffset>
                      </wp:positionH>
                      <wp:positionV relativeFrom="paragraph">
                        <wp:posOffset>2960370</wp:posOffset>
                      </wp:positionV>
                      <wp:extent cx="0" cy="1547495"/>
                      <wp:effectExtent l="133350" t="0" r="57150" b="52705"/>
                      <wp:wrapNone/>
                      <wp:docPr id="103" name="Connettore 2 39"/>
                      <wp:cNvGraphicFramePr/>
                      <a:graphic xmlns:a="http://schemas.openxmlformats.org/drawingml/2006/main">
                        <a:graphicData uri="http://schemas.microsoft.com/office/word/2010/wordprocessingShape">
                          <wps:wsp>
                            <wps:cNvCnPr/>
                            <wps:spPr>
                              <a:xfrm>
                                <a:off x="0" y="0"/>
                                <a:ext cx="0" cy="154749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ttore 2 39" o:spid="_x0000_s1026" type="#_x0000_t32" style="position:absolute;margin-left:269.45pt;margin-top:233.1pt;width:0;height:121.8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" strokecolor="#4579b8 [3044]" strokeweight="2.25pt">
                      <v:stroke endarrow="open"/>
                    </v:shape>
                  </w:pict>
                </mc:Fallback>
              </mc:AlternateContent>
            </w:r>
            <w:r w:rsidRPr="000E247D">
              <w:rPr>
                <w:rFonts w:cs="Arial"/>
                <w:noProof/>
                <w:lang w:eastAsia="it-IT"/>
              </w:rPr>
              <mc:AlternateContent>
                <mc:Choice Requires="wps">
                  <w:drawing>
                    <wp:anchor distT="0" distB="0" distL="114300" distR="114300" simplePos="0" relativeHeight="251687936" behindDoc="0" locked="0" layoutInCell="1" allowOverlap="1" wp14:anchorId="5FDACEBF" wp14:editId="683A5DFC">
                      <wp:simplePos x="0" y="0"/>
                      <wp:positionH relativeFrom="column">
                        <wp:posOffset>3331210</wp:posOffset>
                      </wp:positionH>
                      <wp:positionV relativeFrom="paragraph">
                        <wp:posOffset>608965</wp:posOffset>
                      </wp:positionV>
                      <wp:extent cx="641350" cy="368935"/>
                      <wp:effectExtent l="0" t="0" r="0" b="0"/>
                      <wp:wrapNone/>
                      <wp:docPr id="101" name="CasellaDiTesto 37"/>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Default="00960A7C" w:rsidP="00B81A47">
                                  <w:pPr>
                                    <w:pStyle w:val="NormaleWeb"/>
                                    <w:spacing w:before="0" w:beforeAutospacing="0" w:after="0" w:afterAutospacing="0"/>
                                  </w:pPr>
                                  <w:r>
                                    <w:rPr>
                                      <w:rFonts w:asciiTheme="minorHAnsi" w:hAnsi="Calibri" w:cstheme="minorBidi"/>
                                      <w:color w:val="000000" w:themeColor="text1"/>
                                      <w:kern w:val="24"/>
                                      <w:sz w:val="36"/>
                                      <w:szCs w:val="36"/>
                                    </w:rPr>
                                    <w:t>0,3%</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DiTesto 37" o:spid="_x0000_s1026" type="#_x0000_t202" style="position:absolute;left:0;text-align:left;margin-left:262.3pt;margin-top:47.95pt;width:50.5pt;height:29.05pt;z-index:25168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" filled="f" stroked="f">
                      <v:textbox style="mso-fit-shape-to-text:t">
                        <w:txbxContent>
                          <w:p w:rsidR="00960A7C" w:rsidRDefault="00960A7C" w:rsidP="00B81A47">
                            <w:pPr>
                              <w:pStyle w:val="NormaleWeb"/>
                              <w:spacing w:before="0" w:beforeAutospacing="0" w:after="0" w:afterAutospacing="0"/>
                            </w:pPr>
                            <w:r>
                              <w:rPr>
                                <w:rFonts w:asciiTheme="minorHAnsi" w:hAnsi="Calibri" w:cstheme="minorBidi"/>
                                <w:color w:val="000000" w:themeColor="text1"/>
                                <w:kern w:val="24"/>
                                <w:sz w:val="36"/>
                                <w:szCs w:val="36"/>
                              </w:rPr>
                              <w:t>0,3%</w:t>
                            </w:r>
                          </w:p>
                        </w:txbxContent>
                      </v:textbox>
                    </v:shape>
                  </w:pict>
                </mc:Fallback>
              </mc:AlternateContent>
            </w:r>
            <w:r w:rsidRPr="000E247D">
              <w:rPr>
                <w:rFonts w:cs="Arial"/>
                <w:noProof/>
                <w:lang w:eastAsia="it-IT"/>
              </w:rPr>
              <mc:AlternateContent>
                <mc:Choice Requires="wps">
                  <w:drawing>
                    <wp:anchor distT="0" distB="0" distL="114300" distR="114300" simplePos="0" relativeHeight="251673600" behindDoc="0" locked="0" layoutInCell="1" allowOverlap="1" wp14:anchorId="22347C44" wp14:editId="52900FDF">
                      <wp:simplePos x="0" y="0"/>
                      <wp:positionH relativeFrom="column">
                        <wp:posOffset>3227070</wp:posOffset>
                      </wp:positionH>
                      <wp:positionV relativeFrom="paragraph">
                        <wp:posOffset>1298575</wp:posOffset>
                      </wp:positionV>
                      <wp:extent cx="758190" cy="368935"/>
                      <wp:effectExtent l="0" t="0" r="0" b="0"/>
                      <wp:wrapNone/>
                      <wp:docPr id="87" name="CasellaDiTesto 22"/>
                      <wp:cNvGraphicFramePr/>
                      <a:graphic xmlns:a="http://schemas.openxmlformats.org/drawingml/2006/main">
                        <a:graphicData uri="http://schemas.microsoft.com/office/word/2010/wordprocessingShape">
                          <wps:wsp>
                            <wps:cNvSpPr txBox="1"/>
                            <wps:spPr>
                              <a:xfrm>
                                <a:off x="0" y="0"/>
                                <a:ext cx="758190" cy="368935"/>
                              </a:xfrm>
                              <a:prstGeom prst="rect">
                                <a:avLst/>
                              </a:prstGeom>
                              <a:noFill/>
                            </wps:spPr>
                            <wps:txbx>
                              <w:txbxContent>
                                <w:p w:rsidR="00960A7C" w:rsidRDefault="00960A7C" w:rsidP="00B81A47">
                                  <w:pPr>
                                    <w:pStyle w:val="NormaleWeb"/>
                                    <w:spacing w:before="0" w:beforeAutospacing="0" w:after="0" w:afterAutospacing="0"/>
                                  </w:pPr>
                                  <w:r>
                                    <w:rPr>
                                      <w:rFonts w:asciiTheme="minorHAnsi" w:hAnsi="Calibri" w:cstheme="minorBidi"/>
                                      <w:color w:val="000000" w:themeColor="text1"/>
                                      <w:kern w:val="24"/>
                                      <w:sz w:val="36"/>
                                      <w:szCs w:val="36"/>
                                    </w:rPr>
                                    <w:t>22,5%</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CasellaDiTesto 22" o:spid="_x0000_s1027" type="#_x0000_t202" style="position:absolute;left:0;text-align:left;margin-left:254.1pt;margin-top:102.25pt;width:59.7pt;height:29.0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" filled="f" stroked="f">
                      <v:textbox style="mso-fit-shape-to-text:t">
                        <w:txbxContent>
                          <w:p w:rsidR="00960A7C" w:rsidRDefault="00960A7C" w:rsidP="00B81A47">
                            <w:pPr>
                              <w:pStyle w:val="NormaleWeb"/>
                              <w:spacing w:before="0" w:beforeAutospacing="0" w:after="0" w:afterAutospacing="0"/>
                            </w:pPr>
                            <w:r>
                              <w:rPr>
                                <w:rFonts w:asciiTheme="minorHAnsi" w:hAnsi="Calibri" w:cstheme="minorBidi"/>
                                <w:color w:val="000000" w:themeColor="text1"/>
                                <w:kern w:val="24"/>
                                <w:sz w:val="36"/>
                                <w:szCs w:val="36"/>
                              </w:rPr>
                              <w:t>22,5%</w:t>
                            </w:r>
                          </w:p>
                        </w:txbxContent>
                      </v:textbox>
                    </v:shape>
                  </w:pict>
                </mc:Fallback>
              </mc:AlternateContent>
            </w:r>
            <w:r w:rsidRPr="000E247D">
              <w:rPr>
                <w:rFonts w:cs="Arial"/>
                <w:noProof/>
                <w:lang w:eastAsia="it-IT"/>
              </w:rPr>
              <mc:AlternateContent>
                <mc:Choice Requires="wps">
                  <w:drawing>
                    <wp:anchor distT="0" distB="0" distL="114300" distR="114300" simplePos="0" relativeHeight="251672576" behindDoc="0" locked="0" layoutInCell="1" allowOverlap="1" wp14:anchorId="7BBDCFAD" wp14:editId="3BD50EBE">
                      <wp:simplePos x="0" y="0"/>
                      <wp:positionH relativeFrom="column">
                        <wp:posOffset>2773680</wp:posOffset>
                      </wp:positionH>
                      <wp:positionV relativeFrom="paragraph">
                        <wp:posOffset>1482725</wp:posOffset>
                      </wp:positionV>
                      <wp:extent cx="467995" cy="0"/>
                      <wp:effectExtent l="0" t="133350" r="0" b="133350"/>
                      <wp:wrapNone/>
                      <wp:docPr id="86" name="Connettore 2 21"/>
                      <wp:cNvGraphicFramePr/>
                      <a:graphic xmlns:a="http://schemas.openxmlformats.org/drawingml/2006/main">
                        <a:graphicData uri="http://schemas.microsoft.com/office/word/2010/wordprocessingShape">
                          <wps:wsp>
                            <wps:cNvCnPr/>
                            <wps:spPr>
                              <a:xfrm>
                                <a:off x="0" y="0"/>
                                <a:ext cx="467995"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21" o:spid="_x0000_s1026" type="#_x0000_t32" style="position:absolute;margin-left:218.4pt;margin-top:116.75pt;width:36.85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" strokecolor="#4579b8 [3044]" strokeweight="2.25pt">
                      <v:stroke endarrow="open"/>
                    </v:shape>
                  </w:pict>
                </mc:Fallback>
              </mc:AlternateContent>
            </w:r>
            <w:r w:rsidRPr="000E247D">
              <w:rPr>
                <w:rFonts w:cs="Arial"/>
                <w:b/>
              </w:rPr>
              <w:t>% Mamme</w:t>
            </w:r>
          </w:p>
          <w:p w:rsidR="00B81A47" w:rsidRPr="000E247D" w:rsidRDefault="00B81A47" w:rsidP="005A0025">
            <w:pPr>
              <w:jc w:val="center"/>
              <w:rPr>
                <w:rFonts w:cs="Arial"/>
                <w:b/>
              </w:rPr>
            </w:pPr>
            <w:r w:rsidRPr="000E247D">
              <w:rPr>
                <w:rFonts w:cs="Arial"/>
                <w:b/>
              </w:rPr>
              <w:t>Straniere</w:t>
            </w:r>
          </w:p>
        </w:tc>
      </w:tr>
      <w:tr w:rsidR="000E247D" w:rsidRPr="000E247D" w:rsidTr="000E247D">
        <w:trPr>
          <w:trHeight w:val="190"/>
          <w:jc w:val="center"/>
        </w:trPr>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both"/>
              <w:rPr>
                <w:rFonts w:cs="Arial"/>
              </w:rPr>
            </w:pPr>
            <w:r w:rsidRPr="000E247D">
              <w:rPr>
                <w:rFonts w:cs="Arial"/>
              </w:rPr>
              <w:t>15-18</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0,1%</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1,0%</w:t>
            </w:r>
          </w:p>
        </w:tc>
      </w:tr>
      <w:tr w:rsidR="000E247D" w:rsidRPr="000E247D" w:rsidTr="000E247D">
        <w:trPr>
          <w:trHeight w:val="56"/>
          <w:jc w:val="center"/>
        </w:trPr>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both"/>
              <w:rPr>
                <w:rFonts w:cs="Arial"/>
              </w:rPr>
            </w:pPr>
            <w:r w:rsidRPr="000E247D">
              <w:rPr>
                <w:rFonts w:cs="Arial"/>
                <w:b/>
                <w:bCs/>
                <w:noProof/>
                <w:lang w:eastAsia="it-IT"/>
              </w:rPr>
              <mc:AlternateContent>
                <mc:Choice Requires="wps">
                  <w:drawing>
                    <wp:anchor distT="0" distB="0" distL="114300" distR="114300" simplePos="0" relativeHeight="251659264" behindDoc="0" locked="0" layoutInCell="1" allowOverlap="1" wp14:anchorId="677C8168" wp14:editId="2E7D4E1F">
                      <wp:simplePos x="0" y="0"/>
                      <wp:positionH relativeFrom="column">
                        <wp:posOffset>-202565</wp:posOffset>
                      </wp:positionH>
                      <wp:positionV relativeFrom="paragraph">
                        <wp:posOffset>144780</wp:posOffset>
                      </wp:positionV>
                      <wp:extent cx="5527675" cy="295275"/>
                      <wp:effectExtent l="0" t="0" r="15875" b="28575"/>
                      <wp:wrapNone/>
                      <wp:docPr id="58" name="Ovale 14" hidden="1"/>
                      <wp:cNvGraphicFramePr/>
                      <a:graphic xmlns:a="http://schemas.openxmlformats.org/drawingml/2006/main">
                        <a:graphicData uri="http://schemas.microsoft.com/office/word/2010/wordprocessingShape">
                          <wps:wsp>
                            <wps:cNvSpPr/>
                            <wps:spPr>
                              <a:xfrm flipV="1">
                                <a:off x="0" y="0"/>
                                <a:ext cx="5527675" cy="2952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id="Ovale 14" o:spid="_x0000_s1026" style="position:absolute;margin-left:-15.95pt;margin-top:11.4pt;width:435.25pt;height:23.25pt;flip:y;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" filled="f" strokecolor="#243f60 [1604]" strokeweight="2pt"/>
                  </w:pict>
                </mc:Fallback>
              </mc:AlternateContent>
            </w:r>
            <w:r w:rsidRPr="000E247D">
              <w:rPr>
                <w:rFonts w:cs="Arial"/>
              </w:rPr>
              <w:t>19-24</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1,3%</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9,0%</w:t>
            </w:r>
          </w:p>
        </w:tc>
      </w:tr>
      <w:tr w:rsidR="000E247D" w:rsidRPr="000E247D" w:rsidTr="000E247D">
        <w:trPr>
          <w:trHeight w:val="87"/>
          <w:jc w:val="center"/>
        </w:trPr>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both"/>
              <w:rPr>
                <w:rFonts w:cs="Arial"/>
              </w:rPr>
            </w:pPr>
            <w:r w:rsidRPr="000E247D">
              <w:rPr>
                <w:rFonts w:cs="Arial"/>
              </w:rPr>
              <w:t>30-34</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7,9%</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10,2%</w:t>
            </w:r>
          </w:p>
        </w:tc>
      </w:tr>
      <w:tr w:rsidR="000E247D" w:rsidRPr="000E247D" w:rsidTr="000E247D">
        <w:trPr>
          <w:trHeight w:val="87"/>
          <w:jc w:val="center"/>
        </w:trPr>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both"/>
              <w:rPr>
                <w:rFonts w:cs="Arial"/>
              </w:rPr>
            </w:pPr>
            <w:r w:rsidRPr="000E247D">
              <w:rPr>
                <w:rFonts w:cs="Arial"/>
              </w:rPr>
              <w:t>35-39</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5,8%</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5,8%</w:t>
            </w:r>
          </w:p>
        </w:tc>
      </w:tr>
      <w:tr w:rsidR="000E247D" w:rsidRPr="000E247D" w:rsidTr="000E247D">
        <w:trPr>
          <w:trHeight w:val="87"/>
          <w:jc w:val="center"/>
        </w:trPr>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both"/>
              <w:rPr>
                <w:rFonts w:cs="Arial"/>
              </w:rPr>
            </w:pPr>
            <w:r w:rsidRPr="000E247D">
              <w:rPr>
                <w:rFonts w:cs="Arial"/>
              </w:rPr>
              <w:t>40-49</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0,8%</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0,7%</w:t>
            </w:r>
          </w:p>
        </w:tc>
      </w:tr>
      <w:tr w:rsidR="000E247D" w:rsidRPr="000E247D" w:rsidTr="000E247D">
        <w:trPr>
          <w:trHeight w:val="87"/>
          <w:jc w:val="center"/>
        </w:trPr>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both"/>
              <w:rPr>
                <w:rFonts w:cs="Arial"/>
              </w:rPr>
            </w:pPr>
            <w:r w:rsidRPr="000E247D">
              <w:rPr>
                <w:rFonts w:cs="Arial"/>
              </w:rPr>
              <w:t>Età media al parto</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33,8</w:t>
            </w:r>
          </w:p>
        </w:tc>
        <w:tc>
          <w:tcPr>
            <w:tcW w:w="0" w:type="auto"/>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bottom"/>
            <w:hideMark/>
          </w:tcPr>
          <w:p w:rsidR="00B81A47" w:rsidRPr="000E247D" w:rsidRDefault="00B81A47" w:rsidP="005A0025">
            <w:pPr>
              <w:jc w:val="center"/>
              <w:rPr>
                <w:rFonts w:cs="Arial"/>
              </w:rPr>
            </w:pPr>
            <w:r w:rsidRPr="000E247D">
              <w:rPr>
                <w:rFonts w:cs="Arial"/>
              </w:rPr>
              <w:t>28,9</w:t>
            </w:r>
          </w:p>
        </w:tc>
      </w:tr>
    </w:tbl>
    <w:p w:rsidR="00B81A47" w:rsidRDefault="00B81A47" w:rsidP="00B81A47">
      <w:pPr>
        <w:jc w:val="both"/>
        <w:rPr>
          <w:rStyle w:val="st1"/>
          <w:rFonts w:cs="Arial"/>
          <w:color w:val="FF0000"/>
        </w:rPr>
      </w:pPr>
    </w:p>
    <w:p w:rsidR="000C5A52" w:rsidRDefault="000C5A52" w:rsidP="00B81A47">
      <w:pPr>
        <w:jc w:val="both"/>
        <w:rPr>
          <w:rStyle w:val="st1"/>
          <w:rFonts w:cs="Arial"/>
          <w:color w:val="FF0000"/>
        </w:rPr>
      </w:pPr>
    </w:p>
    <w:p w:rsidR="000C5A52" w:rsidRDefault="000C5A52" w:rsidP="00B81A47">
      <w:pPr>
        <w:jc w:val="both"/>
        <w:rPr>
          <w:rStyle w:val="st1"/>
          <w:rFonts w:cs="Arial"/>
          <w:color w:val="FF0000"/>
        </w:rPr>
      </w:pPr>
    </w:p>
    <w:p w:rsidR="00A931C7" w:rsidRDefault="00A931C7" w:rsidP="00B81A47">
      <w:pPr>
        <w:jc w:val="both"/>
        <w:rPr>
          <w:rStyle w:val="st1"/>
          <w:rFonts w:cs="Arial"/>
          <w:color w:val="FF0000"/>
        </w:rPr>
      </w:pPr>
    </w:p>
    <w:p w:rsidR="00A931C7" w:rsidRDefault="00A931C7" w:rsidP="00B81A47">
      <w:pPr>
        <w:jc w:val="both"/>
        <w:rPr>
          <w:rStyle w:val="st1"/>
          <w:rFonts w:cs="Arial"/>
          <w:color w:val="FF0000"/>
        </w:rPr>
      </w:pPr>
    </w:p>
    <w:p w:rsidR="00A931C7" w:rsidRDefault="00A931C7" w:rsidP="00B81A47">
      <w:pPr>
        <w:jc w:val="both"/>
        <w:rPr>
          <w:rStyle w:val="st1"/>
          <w:rFonts w:cs="Arial"/>
          <w:color w:val="FF0000"/>
        </w:rPr>
      </w:pPr>
    </w:p>
    <w:p w:rsidR="00A931C7" w:rsidRDefault="00A931C7" w:rsidP="00B81A47">
      <w:pPr>
        <w:jc w:val="both"/>
        <w:rPr>
          <w:rStyle w:val="st1"/>
          <w:rFonts w:cs="Arial"/>
          <w:color w:val="FF0000"/>
        </w:rPr>
      </w:pPr>
    </w:p>
    <w:p w:rsidR="00A931C7" w:rsidRPr="000C5A52" w:rsidRDefault="00A931C7" w:rsidP="00B81A47">
      <w:pPr>
        <w:jc w:val="both"/>
        <w:rPr>
          <w:rStyle w:val="st1"/>
          <w:rFonts w:cs="Arial"/>
          <w:color w:val="FF0000"/>
        </w:rPr>
      </w:pPr>
    </w:p>
    <w:p w:rsidR="00B81A47" w:rsidRPr="00A931C7" w:rsidRDefault="00B81A47" w:rsidP="00B81A47">
      <w:pPr>
        <w:spacing w:after="0"/>
        <w:jc w:val="both"/>
        <w:rPr>
          <w:rStyle w:val="st1"/>
          <w:rFonts w:cs="Arial"/>
        </w:rPr>
      </w:pPr>
      <w:r w:rsidRPr="00A931C7">
        <w:rPr>
          <w:rStyle w:val="st1"/>
          <w:rFonts w:cs="Arial"/>
        </w:rPr>
        <w:lastRenderedPageBreak/>
        <w:t>La provenienza della componente straniera è davvero molteplice e copre praticamente tutte le aree del mondo, rendendo ancore più complesso l’approccio assistenziale per queste donne. La percentuale maggiore risulta comunque di origine indiana/Asia sud-orientale, seguita dal nord-Africa.</w:t>
      </w:r>
    </w:p>
    <w:p w:rsidR="00343B02" w:rsidRDefault="00343B02" w:rsidP="00B81A47">
      <w:pPr>
        <w:spacing w:after="0"/>
        <w:jc w:val="both"/>
        <w:rPr>
          <w:rStyle w:val="st1"/>
          <w:rFonts w:cs="Arial"/>
          <w:color w:val="000000" w:themeColor="text1"/>
        </w:rPr>
      </w:pPr>
      <w:r w:rsidRPr="00B81A47">
        <w:rPr>
          <w:rFonts w:cs="Arial"/>
          <w:noProof/>
          <w:color w:val="000000" w:themeColor="text1"/>
          <w:lang w:eastAsia="it-IT"/>
        </w:rPr>
        <mc:AlternateContent>
          <mc:Choice Requires="wps">
            <w:drawing>
              <wp:anchor distT="0" distB="0" distL="114300" distR="114300" simplePos="0" relativeHeight="251723776" behindDoc="0" locked="0" layoutInCell="1" allowOverlap="1" wp14:anchorId="25E8FE72" wp14:editId="7676213F">
                <wp:simplePos x="0" y="0"/>
                <wp:positionH relativeFrom="column">
                  <wp:posOffset>3718560</wp:posOffset>
                </wp:positionH>
                <wp:positionV relativeFrom="paragraph">
                  <wp:posOffset>60960</wp:posOffset>
                </wp:positionV>
                <wp:extent cx="641350" cy="368935"/>
                <wp:effectExtent l="0" t="0" r="0" b="0"/>
                <wp:wrapNone/>
                <wp:docPr id="124"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343B02">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33,5</w:t>
                            </w:r>
                            <w:r w:rsidRPr="00B81A47">
                              <w:rPr>
                                <w:rFonts w:asciiTheme="minorHAnsi" w:hAnsi="Calibri" w:cstheme="minorBidi"/>
                                <w:b/>
                                <w:color w:val="000000" w:themeColor="text1"/>
                                <w:kern w:val="24"/>
                                <w:sz w:val="28"/>
                                <w:szCs w:val="28"/>
                              </w:rPr>
                              <w:t>%</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CasellaDiTesto 25" o:spid="_x0000_s1028" type="#_x0000_t202" style="position:absolute;left:0;text-align:left;margin-left:292.8pt;margin-top:4.8pt;width:50.5pt;height:29.05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" filled="f" stroked="f">
                <v:textbox style="mso-fit-shape-to-text:t">
                  <w:txbxContent>
                    <w:p w:rsidR="00960A7C" w:rsidRPr="00B81A47" w:rsidRDefault="00960A7C" w:rsidP="00343B02">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33,5</w:t>
                      </w:r>
                      <w:r w:rsidRPr="00B81A47">
                        <w:rPr>
                          <w:rFonts w:asciiTheme="minorHAnsi" w:hAnsi="Calibri" w:cstheme="minorBidi"/>
                          <w:b/>
                          <w:color w:val="000000" w:themeColor="text1"/>
                          <w:kern w:val="24"/>
                          <w:sz w:val="28"/>
                          <w:szCs w:val="28"/>
                        </w:rPr>
                        <w:t>%</w:t>
                      </w:r>
                    </w:p>
                  </w:txbxContent>
                </v:textbox>
              </v:shape>
            </w:pict>
          </mc:Fallback>
        </mc:AlternateContent>
      </w:r>
      <w:r w:rsidRPr="00B81A47">
        <w:rPr>
          <w:rFonts w:cs="Arial"/>
          <w:noProof/>
          <w:color w:val="000000" w:themeColor="text1"/>
          <w:lang w:eastAsia="it-IT"/>
        </w:rPr>
        <mc:AlternateContent>
          <mc:Choice Requires="wps">
            <w:drawing>
              <wp:anchor distT="0" distB="0" distL="114300" distR="114300" simplePos="0" relativeHeight="251709440" behindDoc="0" locked="0" layoutInCell="1" allowOverlap="1" wp14:anchorId="2CE652D1" wp14:editId="1B03E92E">
                <wp:simplePos x="0" y="0"/>
                <wp:positionH relativeFrom="column">
                  <wp:posOffset>4686300</wp:posOffset>
                </wp:positionH>
                <wp:positionV relativeFrom="paragraph">
                  <wp:posOffset>78918</wp:posOffset>
                </wp:positionV>
                <wp:extent cx="641350" cy="368935"/>
                <wp:effectExtent l="0" t="0" r="0" b="0"/>
                <wp:wrapNone/>
                <wp:docPr id="116"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9</w:t>
                            </w:r>
                            <w:r w:rsidRPr="00B81A47">
                              <w:rPr>
                                <w:rFonts w:asciiTheme="minorHAnsi" w:hAnsi="Calibri" w:cstheme="minorBidi"/>
                                <w:b/>
                                <w:color w:val="000000" w:themeColor="text1"/>
                                <w:kern w:val="24"/>
                                <w:sz w:val="28"/>
                                <w:szCs w:val="28"/>
                              </w:rPr>
                              <w:t>,</w:t>
                            </w:r>
                            <w:r>
                              <w:rPr>
                                <w:rFonts w:asciiTheme="minorHAnsi" w:hAnsi="Calibri" w:cstheme="minorBidi"/>
                                <w:b/>
                                <w:color w:val="000000" w:themeColor="text1"/>
                                <w:kern w:val="24"/>
                                <w:sz w:val="28"/>
                                <w:szCs w:val="28"/>
                              </w:rPr>
                              <w:t>2</w:t>
                            </w:r>
                            <w:r w:rsidRPr="00B81A47">
                              <w:rPr>
                                <w:rFonts w:asciiTheme="minorHAnsi" w:hAnsi="Calibri" w:cstheme="minorBidi"/>
                                <w:b/>
                                <w:color w:val="000000" w:themeColor="text1"/>
                                <w:kern w:val="24"/>
                                <w:sz w:val="28"/>
                                <w:szCs w:val="28"/>
                              </w:rPr>
                              <w:t>%</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69pt;margin-top:6.2pt;width:50.5pt;height:29.05pt;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" filled="f" stroked="f">
                <v:textbox style="mso-fit-shape-to-text:t">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9</w:t>
                      </w:r>
                      <w:r w:rsidRPr="00B81A47">
                        <w:rPr>
                          <w:rFonts w:asciiTheme="minorHAnsi" w:hAnsi="Calibri" w:cstheme="minorBidi"/>
                          <w:b/>
                          <w:color w:val="000000" w:themeColor="text1"/>
                          <w:kern w:val="24"/>
                          <w:sz w:val="28"/>
                          <w:szCs w:val="28"/>
                        </w:rPr>
                        <w:t>,</w:t>
                      </w:r>
                      <w:r>
                        <w:rPr>
                          <w:rFonts w:asciiTheme="minorHAnsi" w:hAnsi="Calibri" w:cstheme="minorBidi"/>
                          <w:b/>
                          <w:color w:val="000000" w:themeColor="text1"/>
                          <w:kern w:val="24"/>
                          <w:sz w:val="28"/>
                          <w:szCs w:val="28"/>
                        </w:rPr>
                        <w:t>2</w:t>
                      </w:r>
                      <w:r w:rsidRPr="00B81A47">
                        <w:rPr>
                          <w:rFonts w:asciiTheme="minorHAnsi" w:hAnsi="Calibri" w:cstheme="minorBidi"/>
                          <w:b/>
                          <w:color w:val="000000" w:themeColor="text1"/>
                          <w:kern w:val="24"/>
                          <w:sz w:val="28"/>
                          <w:szCs w:val="28"/>
                        </w:rPr>
                        <w:t>%</w:t>
                      </w:r>
                    </w:p>
                  </w:txbxContent>
                </v:textbox>
              </v:shape>
            </w:pict>
          </mc:Fallback>
        </mc:AlternateContent>
      </w:r>
      <w:r w:rsidRPr="00B81A47">
        <w:rPr>
          <w:rFonts w:cs="Arial"/>
          <w:noProof/>
          <w:color w:val="000000" w:themeColor="text1"/>
          <w:lang w:eastAsia="it-IT"/>
        </w:rPr>
        <mc:AlternateContent>
          <mc:Choice Requires="wps">
            <w:drawing>
              <wp:anchor distT="0" distB="0" distL="114300" distR="114300" simplePos="0" relativeHeight="251711488" behindDoc="0" locked="0" layoutInCell="1" allowOverlap="1" wp14:anchorId="0015479B" wp14:editId="4B68BA22">
                <wp:simplePos x="0" y="0"/>
                <wp:positionH relativeFrom="column">
                  <wp:posOffset>3008630</wp:posOffset>
                </wp:positionH>
                <wp:positionV relativeFrom="paragraph">
                  <wp:posOffset>39843</wp:posOffset>
                </wp:positionV>
                <wp:extent cx="641350" cy="368935"/>
                <wp:effectExtent l="0" t="0" r="0" b="0"/>
                <wp:wrapNone/>
                <wp:docPr id="117"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2</w:t>
                            </w:r>
                            <w:r w:rsidRPr="00B81A47">
                              <w:rPr>
                                <w:rFonts w:asciiTheme="minorHAnsi" w:hAnsi="Calibri" w:cstheme="minorBidi"/>
                                <w:b/>
                                <w:color w:val="000000" w:themeColor="text1"/>
                                <w:kern w:val="24"/>
                                <w:sz w:val="28"/>
                                <w:szCs w:val="28"/>
                              </w:rPr>
                              <w:t>%</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36.9pt;margin-top:3.15pt;width:50.5pt;height:29.05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" filled="f" stroked="f">
                <v:textbox style="mso-fit-shape-to-text:t">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2</w:t>
                      </w:r>
                      <w:r w:rsidRPr="00B81A47">
                        <w:rPr>
                          <w:rFonts w:asciiTheme="minorHAnsi" w:hAnsi="Calibri" w:cstheme="minorBidi"/>
                          <w:b/>
                          <w:color w:val="000000" w:themeColor="text1"/>
                          <w:kern w:val="24"/>
                          <w:sz w:val="28"/>
                          <w:szCs w:val="28"/>
                        </w:rPr>
                        <w:t>%</w:t>
                      </w:r>
                    </w:p>
                  </w:txbxContent>
                </v:textbox>
              </v:shape>
            </w:pict>
          </mc:Fallback>
        </mc:AlternateContent>
      </w:r>
    </w:p>
    <w:p w:rsidR="00B81A47" w:rsidRDefault="00343B02" w:rsidP="00B81A47">
      <w:pPr>
        <w:spacing w:after="0"/>
        <w:jc w:val="both"/>
        <w:rPr>
          <w:rStyle w:val="st1"/>
          <w:rFonts w:cs="Arial"/>
          <w:color w:val="000000" w:themeColor="text1"/>
        </w:rPr>
      </w:pPr>
      <w:r w:rsidRPr="00B81A47">
        <w:rPr>
          <w:rFonts w:cs="Arial"/>
          <w:noProof/>
          <w:color w:val="000000" w:themeColor="text1"/>
          <w:lang w:eastAsia="it-IT"/>
        </w:rPr>
        <mc:AlternateContent>
          <mc:Choice Requires="wps">
            <w:drawing>
              <wp:anchor distT="0" distB="0" distL="114300" distR="114300" simplePos="0" relativeHeight="251721728" behindDoc="0" locked="0" layoutInCell="1" allowOverlap="1" wp14:anchorId="0BB9865E" wp14:editId="6764875B">
                <wp:simplePos x="0" y="0"/>
                <wp:positionH relativeFrom="column">
                  <wp:posOffset>3997960</wp:posOffset>
                </wp:positionH>
                <wp:positionV relativeFrom="paragraph">
                  <wp:posOffset>105410</wp:posOffset>
                </wp:positionV>
                <wp:extent cx="0" cy="709295"/>
                <wp:effectExtent l="57150" t="38100" r="57150" b="14605"/>
                <wp:wrapNone/>
                <wp:docPr id="123" name="Connettore 2 11"/>
                <wp:cNvGraphicFramePr/>
                <a:graphic xmlns:a="http://schemas.openxmlformats.org/drawingml/2006/main">
                  <a:graphicData uri="http://schemas.microsoft.com/office/word/2010/wordprocessingShape">
                    <wps:wsp>
                      <wps:cNvCnPr/>
                      <wps:spPr>
                        <a:xfrm flipV="1">
                          <a:off x="0" y="0"/>
                          <a:ext cx="0" cy="709295"/>
                        </a:xfrm>
                        <a:prstGeom prst="straightConnector1">
                          <a:avLst/>
                        </a:prstGeom>
                        <a:noFill/>
                        <a:ln w="2857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nettore 2 11" o:spid="_x0000_s1026" type="#_x0000_t32" style="position:absolute;margin-left:314.8pt;margin-top:8.3pt;width:0;height:55.85pt;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" strokecolor="#4a7ebb" strokeweight="2.25pt">
                <v:stroke endarrow="open"/>
              </v:shape>
            </w:pict>
          </mc:Fallback>
        </mc:AlternateContent>
      </w:r>
      <w:r w:rsidRPr="00B81A47">
        <w:rPr>
          <w:rFonts w:cs="Arial"/>
          <w:noProof/>
          <w:color w:val="000000" w:themeColor="text1"/>
          <w:lang w:eastAsia="it-IT"/>
        </w:rPr>
        <mc:AlternateContent>
          <mc:Choice Requires="wps">
            <w:drawing>
              <wp:anchor distT="0" distB="0" distL="114300" distR="114300" simplePos="0" relativeHeight="251683840" behindDoc="0" locked="0" layoutInCell="1" allowOverlap="1" wp14:anchorId="16A9ABA4" wp14:editId="062A768B">
                <wp:simplePos x="0" y="0"/>
                <wp:positionH relativeFrom="column">
                  <wp:posOffset>3194050</wp:posOffset>
                </wp:positionH>
                <wp:positionV relativeFrom="paragraph">
                  <wp:posOffset>105410</wp:posOffset>
                </wp:positionV>
                <wp:extent cx="0" cy="709295"/>
                <wp:effectExtent l="57150" t="38100" r="57150" b="14605"/>
                <wp:wrapNone/>
                <wp:docPr id="97" name="Connettore 2 33"/>
                <wp:cNvGraphicFramePr/>
                <a:graphic xmlns:a="http://schemas.openxmlformats.org/drawingml/2006/main">
                  <a:graphicData uri="http://schemas.microsoft.com/office/word/2010/wordprocessingShape">
                    <wps:wsp>
                      <wps:cNvCnPr/>
                      <wps:spPr>
                        <a:xfrm flipV="1">
                          <a:off x="0" y="0"/>
                          <a:ext cx="0" cy="70929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33" o:spid="_x0000_s1026" type="#_x0000_t32" style="position:absolute;margin-left:251.5pt;margin-top:8.3pt;width:0;height:55.85pt;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" strokecolor="#4579b8 [3044]" strokeweight="2.25pt">
                <v:stroke endarrow="open"/>
              </v:shape>
            </w:pict>
          </mc:Fallback>
        </mc:AlternateContent>
      </w:r>
    </w:p>
    <w:p w:rsidR="00B81A47" w:rsidRPr="00B81A47" w:rsidRDefault="00343B02" w:rsidP="00B81A47">
      <w:pPr>
        <w:spacing w:after="0"/>
        <w:jc w:val="both"/>
        <w:rPr>
          <w:rStyle w:val="st1"/>
          <w:rFonts w:cs="Arial"/>
          <w:color w:val="000000" w:themeColor="text1"/>
        </w:rPr>
      </w:pPr>
      <w:r w:rsidRPr="00B81A47">
        <w:rPr>
          <w:rFonts w:cs="Arial"/>
          <w:noProof/>
          <w:color w:val="000000" w:themeColor="text1"/>
          <w:lang w:eastAsia="it-IT"/>
        </w:rPr>
        <mc:AlternateContent>
          <mc:Choice Requires="wps">
            <w:drawing>
              <wp:anchor distT="0" distB="0" distL="114300" distR="114300" simplePos="0" relativeHeight="251705344" behindDoc="0" locked="0" layoutInCell="1" allowOverlap="1" wp14:anchorId="26125C4F" wp14:editId="296C03D0">
                <wp:simplePos x="0" y="0"/>
                <wp:positionH relativeFrom="column">
                  <wp:posOffset>21590</wp:posOffset>
                </wp:positionH>
                <wp:positionV relativeFrom="paragraph">
                  <wp:posOffset>525145</wp:posOffset>
                </wp:positionV>
                <wp:extent cx="641350" cy="368935"/>
                <wp:effectExtent l="0" t="0" r="0" b="0"/>
                <wp:wrapNone/>
                <wp:docPr id="114"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0,08%</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7pt;margin-top:41.35pt;width:50.5pt;height:29.05pt;z-index:25170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" filled="f" stroked="f">
                <v:textbox style="mso-fit-shape-to-text:t">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0,08%</w:t>
                      </w:r>
                    </w:p>
                  </w:txbxContent>
                </v:textbox>
              </v:shape>
            </w:pict>
          </mc:Fallback>
        </mc:AlternateContent>
      </w:r>
      <w:r w:rsidRPr="00B81A47">
        <w:rPr>
          <w:rFonts w:cs="Arial"/>
          <w:noProof/>
          <w:color w:val="000000" w:themeColor="text1"/>
          <w:lang w:eastAsia="it-IT"/>
        </w:rPr>
        <mc:AlternateContent>
          <mc:Choice Requires="wps">
            <w:drawing>
              <wp:anchor distT="0" distB="0" distL="114300" distR="114300" simplePos="0" relativeHeight="251729920" behindDoc="0" locked="0" layoutInCell="1" allowOverlap="1" wp14:anchorId="2FDB167C" wp14:editId="02FA5750">
                <wp:simplePos x="0" y="0"/>
                <wp:positionH relativeFrom="column">
                  <wp:posOffset>5431155</wp:posOffset>
                </wp:positionH>
                <wp:positionV relativeFrom="paragraph">
                  <wp:posOffset>3573780</wp:posOffset>
                </wp:positionV>
                <wp:extent cx="641350" cy="368935"/>
                <wp:effectExtent l="0" t="0" r="0" b="0"/>
                <wp:wrapNone/>
                <wp:docPr id="127"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343B02">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0,03</w:t>
                            </w:r>
                            <w:r w:rsidRPr="00B81A47">
                              <w:rPr>
                                <w:rFonts w:asciiTheme="minorHAnsi" w:hAnsi="Calibri" w:cstheme="minorBidi"/>
                                <w:b/>
                                <w:color w:val="000000" w:themeColor="text1"/>
                                <w:kern w:val="24"/>
                                <w:sz w:val="28"/>
                                <w:szCs w:val="28"/>
                              </w:rPr>
                              <w:t>%</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427.65pt;margin-top:281.4pt;width:50.5pt;height:29.05pt;z-index:25172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" filled="f" stroked="f">
                <v:textbox style="mso-fit-shape-to-text:t">
                  <w:txbxContent>
                    <w:p w:rsidR="00960A7C" w:rsidRPr="00B81A47" w:rsidRDefault="00960A7C" w:rsidP="00343B02">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0,03</w:t>
                      </w:r>
                      <w:r w:rsidRPr="00B81A47">
                        <w:rPr>
                          <w:rFonts w:asciiTheme="minorHAnsi" w:hAnsi="Calibri" w:cstheme="minorBidi"/>
                          <w:b/>
                          <w:color w:val="000000" w:themeColor="text1"/>
                          <w:kern w:val="24"/>
                          <w:sz w:val="28"/>
                          <w:szCs w:val="28"/>
                        </w:rPr>
                        <w:t>%</w:t>
                      </w:r>
                    </w:p>
                  </w:txbxContent>
                </v:textbox>
              </v:shape>
            </w:pict>
          </mc:Fallback>
        </mc:AlternateContent>
      </w:r>
      <w:r w:rsidRPr="00B81A47">
        <w:rPr>
          <w:rFonts w:cs="Arial"/>
          <w:noProof/>
          <w:color w:val="000000" w:themeColor="text1"/>
          <w:lang w:eastAsia="it-IT"/>
        </w:rPr>
        <mc:AlternateContent>
          <mc:Choice Requires="wps">
            <w:drawing>
              <wp:anchor distT="0" distB="0" distL="114300" distR="114300" simplePos="0" relativeHeight="251727872" behindDoc="0" locked="0" layoutInCell="1" allowOverlap="1" wp14:anchorId="58F43762" wp14:editId="2BFD8199">
                <wp:simplePos x="0" y="0"/>
                <wp:positionH relativeFrom="column">
                  <wp:posOffset>5730240</wp:posOffset>
                </wp:positionH>
                <wp:positionV relativeFrom="paragraph">
                  <wp:posOffset>2566035</wp:posOffset>
                </wp:positionV>
                <wp:extent cx="9525" cy="1071245"/>
                <wp:effectExtent l="133350" t="19050" r="123825" b="52705"/>
                <wp:wrapNone/>
                <wp:docPr id="126" name="Connettore 2 15"/>
                <wp:cNvGraphicFramePr/>
                <a:graphic xmlns:a="http://schemas.openxmlformats.org/drawingml/2006/main">
                  <a:graphicData uri="http://schemas.microsoft.com/office/word/2010/wordprocessingShape">
                    <wps:wsp>
                      <wps:cNvCnPr/>
                      <wps:spPr>
                        <a:xfrm flipH="1">
                          <a:off x="0" y="0"/>
                          <a:ext cx="9525" cy="1071245"/>
                        </a:xfrm>
                        <a:prstGeom prst="straightConnector1">
                          <a:avLst/>
                        </a:prstGeom>
                        <a:noFill/>
                        <a:ln w="2857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nettore 2 15" o:spid="_x0000_s1026" type="#_x0000_t32" style="position:absolute;margin-left:451.2pt;margin-top:202.05pt;width:.75pt;height:84.35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" strokecolor="#4a7ebb" strokeweight="2.25pt">
                <v:stroke endarrow="open"/>
              </v:shape>
            </w:pict>
          </mc:Fallback>
        </mc:AlternateContent>
      </w:r>
      <w:r w:rsidRPr="00B81A47">
        <w:rPr>
          <w:rFonts w:cs="Arial"/>
          <w:noProof/>
          <w:color w:val="000000" w:themeColor="text1"/>
          <w:lang w:eastAsia="it-IT"/>
        </w:rPr>
        <mc:AlternateContent>
          <mc:Choice Requires="wps">
            <w:drawing>
              <wp:anchor distT="0" distB="0" distL="114300" distR="114300" simplePos="0" relativeHeight="251725824" behindDoc="0" locked="0" layoutInCell="1" allowOverlap="1" wp14:anchorId="376190A4" wp14:editId="34F6B70D">
                <wp:simplePos x="0" y="0"/>
                <wp:positionH relativeFrom="column">
                  <wp:posOffset>5564505</wp:posOffset>
                </wp:positionH>
                <wp:positionV relativeFrom="paragraph">
                  <wp:posOffset>1039495</wp:posOffset>
                </wp:positionV>
                <wp:extent cx="641350" cy="368935"/>
                <wp:effectExtent l="0" t="0" r="0" b="0"/>
                <wp:wrapNone/>
                <wp:docPr id="125"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343B02">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22,5</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438.15pt;margin-top:81.85pt;width:50.5pt;height:29.05pt;z-index:25172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" filled="f" stroked="f">
                <v:textbox style="mso-fit-shape-to-text:t">
                  <w:txbxContent>
                    <w:p w:rsidR="00960A7C" w:rsidRPr="00B81A47" w:rsidRDefault="00960A7C" w:rsidP="00343B02">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22,5</w:t>
                      </w:r>
                    </w:p>
                  </w:txbxContent>
                </v:textbox>
              </v:shape>
            </w:pict>
          </mc:Fallback>
        </mc:AlternateContent>
      </w:r>
      <w:r w:rsidRPr="00B81A47">
        <w:rPr>
          <w:rFonts w:cs="Arial"/>
          <w:noProof/>
          <w:color w:val="000000" w:themeColor="text1"/>
          <w:lang w:eastAsia="it-IT"/>
        </w:rPr>
        <mc:AlternateContent>
          <mc:Choice Requires="wps">
            <w:drawing>
              <wp:anchor distT="0" distB="0" distL="114300" distR="114300" simplePos="0" relativeHeight="251662336" behindDoc="0" locked="0" layoutInCell="1" allowOverlap="1" wp14:anchorId="77D92E88" wp14:editId="61DB1C2D">
                <wp:simplePos x="0" y="0"/>
                <wp:positionH relativeFrom="column">
                  <wp:posOffset>4951730</wp:posOffset>
                </wp:positionH>
                <wp:positionV relativeFrom="paragraph">
                  <wp:posOffset>-7502</wp:posOffset>
                </wp:positionV>
                <wp:extent cx="0" cy="709295"/>
                <wp:effectExtent l="57150" t="38100" r="57150" b="14605"/>
                <wp:wrapNone/>
                <wp:docPr id="66" name="Connettore 2 11"/>
                <wp:cNvGraphicFramePr/>
                <a:graphic xmlns:a="http://schemas.openxmlformats.org/drawingml/2006/main">
                  <a:graphicData uri="http://schemas.microsoft.com/office/word/2010/wordprocessingShape">
                    <wps:wsp>
                      <wps:cNvCnPr/>
                      <wps:spPr>
                        <a:xfrm flipV="1">
                          <a:off x="0" y="0"/>
                          <a:ext cx="0" cy="709295"/>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11" o:spid="_x0000_s1026" type="#_x0000_t32" style="position:absolute;margin-left:389.9pt;margin-top:-.6pt;width:0;height:55.8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" strokecolor="#4579b8 [3044]" strokeweight="2.25pt">
                <v:stroke endarrow="open"/>
              </v:shape>
            </w:pict>
          </mc:Fallback>
        </mc:AlternateContent>
      </w:r>
      <w:r w:rsidRPr="00B81A47">
        <w:rPr>
          <w:rFonts w:cs="Arial"/>
          <w:noProof/>
          <w:color w:val="000000" w:themeColor="text1"/>
          <w:lang w:eastAsia="it-IT"/>
        </w:rPr>
        <mc:AlternateContent>
          <mc:Choice Requires="wps">
            <w:drawing>
              <wp:anchor distT="0" distB="0" distL="114300" distR="114300" simplePos="0" relativeHeight="251719680" behindDoc="0" locked="0" layoutInCell="1" allowOverlap="1" wp14:anchorId="2DD4E575" wp14:editId="5B737DB0">
                <wp:simplePos x="0" y="0"/>
                <wp:positionH relativeFrom="column">
                  <wp:posOffset>4766281</wp:posOffset>
                </wp:positionH>
                <wp:positionV relativeFrom="paragraph">
                  <wp:posOffset>1219864</wp:posOffset>
                </wp:positionV>
                <wp:extent cx="713105" cy="0"/>
                <wp:effectExtent l="0" t="133350" r="0" b="133350"/>
                <wp:wrapNone/>
                <wp:docPr id="122" name="Connettore 2 24"/>
                <wp:cNvGraphicFramePr/>
                <a:graphic xmlns:a="http://schemas.openxmlformats.org/drawingml/2006/main">
                  <a:graphicData uri="http://schemas.microsoft.com/office/word/2010/wordprocessingShape">
                    <wps:wsp>
                      <wps:cNvCnPr/>
                      <wps:spPr>
                        <a:xfrm>
                          <a:off x="0" y="0"/>
                          <a:ext cx="713105" cy="0"/>
                        </a:xfrm>
                        <a:prstGeom prst="straightConnector1">
                          <a:avLst/>
                        </a:prstGeom>
                        <a:noFill/>
                        <a:ln w="2857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nettore 2 24" o:spid="_x0000_s1026" type="#_x0000_t32" style="position:absolute;margin-left:375.3pt;margin-top:96.05pt;width:56.15pt;height:0;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" strokecolor="#4a7ebb" strokeweight="2.25pt">
                <v:stroke endarrow="open"/>
              </v:shape>
            </w:pict>
          </mc:Fallback>
        </mc:AlternateContent>
      </w:r>
      <w:r w:rsidR="00400786" w:rsidRPr="00B81A47">
        <w:rPr>
          <w:rFonts w:cs="Arial"/>
          <w:noProof/>
          <w:color w:val="000000" w:themeColor="text1"/>
          <w:lang w:eastAsia="it-IT"/>
        </w:rPr>
        <mc:AlternateContent>
          <mc:Choice Requires="wps">
            <w:drawing>
              <wp:anchor distT="0" distB="0" distL="114300" distR="114300" simplePos="0" relativeHeight="251713536" behindDoc="0" locked="0" layoutInCell="1" allowOverlap="1" wp14:anchorId="78A9AE03" wp14:editId="2085AA91">
                <wp:simplePos x="0" y="0"/>
                <wp:positionH relativeFrom="column">
                  <wp:posOffset>3194050</wp:posOffset>
                </wp:positionH>
                <wp:positionV relativeFrom="paragraph">
                  <wp:posOffset>3163570</wp:posOffset>
                </wp:positionV>
                <wp:extent cx="641350" cy="368935"/>
                <wp:effectExtent l="0" t="0" r="0" b="0"/>
                <wp:wrapNone/>
                <wp:docPr id="118"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6,8</w:t>
                            </w:r>
                            <w:r w:rsidRPr="00B81A47">
                              <w:rPr>
                                <w:rFonts w:asciiTheme="minorHAnsi" w:hAnsi="Calibri" w:cstheme="minorBidi"/>
                                <w:b/>
                                <w:color w:val="000000" w:themeColor="text1"/>
                                <w:kern w:val="24"/>
                                <w:sz w:val="28"/>
                                <w:szCs w:val="28"/>
                              </w:rPr>
                              <w:t>%</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251.5pt;margin-top:249.1pt;width:50.5pt;height:29.05pt;z-index:25171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" filled="f" stroked="f">
                <v:textbox style="mso-fit-shape-to-text:t">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6,8</w:t>
                      </w:r>
                      <w:r w:rsidRPr="00B81A47">
                        <w:rPr>
                          <w:rFonts w:asciiTheme="minorHAnsi" w:hAnsi="Calibri" w:cstheme="minorBidi"/>
                          <w:b/>
                          <w:color w:val="000000" w:themeColor="text1"/>
                          <w:kern w:val="24"/>
                          <w:sz w:val="28"/>
                          <w:szCs w:val="28"/>
                        </w:rPr>
                        <w:t>%</w:t>
                      </w:r>
                    </w:p>
                  </w:txbxContent>
                </v:textbox>
              </v:shape>
            </w:pict>
          </mc:Fallback>
        </mc:AlternateContent>
      </w:r>
      <w:r w:rsidR="00400786" w:rsidRPr="00B81A47">
        <w:rPr>
          <w:rFonts w:cs="Arial"/>
          <w:noProof/>
          <w:color w:val="000000" w:themeColor="text1"/>
          <w:lang w:eastAsia="it-IT"/>
        </w:rPr>
        <mc:AlternateContent>
          <mc:Choice Requires="wps">
            <w:drawing>
              <wp:anchor distT="0" distB="0" distL="114300" distR="114300" simplePos="0" relativeHeight="251676672" behindDoc="0" locked="0" layoutInCell="1" allowOverlap="1" wp14:anchorId="42ED51B8" wp14:editId="2564DFE7">
                <wp:simplePos x="0" y="0"/>
                <wp:positionH relativeFrom="column">
                  <wp:posOffset>56515</wp:posOffset>
                </wp:positionH>
                <wp:positionV relativeFrom="paragraph">
                  <wp:posOffset>2258695</wp:posOffset>
                </wp:positionV>
                <wp:extent cx="641350" cy="368935"/>
                <wp:effectExtent l="0" t="0" r="0" b="0"/>
                <wp:wrapNone/>
                <wp:docPr id="90"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B81A47">
                            <w:pPr>
                              <w:pStyle w:val="NormaleWeb"/>
                              <w:spacing w:before="0" w:beforeAutospacing="0" w:after="0" w:afterAutospacing="0"/>
                              <w:rPr>
                                <w:b/>
                                <w:sz w:val="28"/>
                                <w:szCs w:val="28"/>
                              </w:rPr>
                            </w:pPr>
                            <w:r w:rsidRPr="00B81A47">
                              <w:rPr>
                                <w:rFonts w:asciiTheme="minorHAnsi" w:hAnsi="Calibri" w:cstheme="minorBidi"/>
                                <w:b/>
                                <w:color w:val="000000" w:themeColor="text1"/>
                                <w:kern w:val="24"/>
                                <w:sz w:val="28"/>
                                <w:szCs w:val="28"/>
                              </w:rPr>
                              <w:t>3,5%</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4.45pt;margin-top:177.85pt;width:50.5pt;height:29.05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" filled="f" stroked="f">
                <v:textbox style="mso-fit-shape-to-text:t">
                  <w:txbxContent>
                    <w:p w:rsidR="00960A7C" w:rsidRPr="00B81A47" w:rsidRDefault="00960A7C" w:rsidP="00B81A47">
                      <w:pPr>
                        <w:pStyle w:val="NormaleWeb"/>
                        <w:spacing w:before="0" w:beforeAutospacing="0" w:after="0" w:afterAutospacing="0"/>
                        <w:rPr>
                          <w:b/>
                          <w:sz w:val="28"/>
                          <w:szCs w:val="28"/>
                        </w:rPr>
                      </w:pPr>
                      <w:r w:rsidRPr="00B81A47">
                        <w:rPr>
                          <w:rFonts w:asciiTheme="minorHAnsi" w:hAnsi="Calibri" w:cstheme="minorBidi"/>
                          <w:b/>
                          <w:color w:val="000000" w:themeColor="text1"/>
                          <w:kern w:val="24"/>
                          <w:sz w:val="28"/>
                          <w:szCs w:val="28"/>
                        </w:rPr>
                        <w:t>3,5%</w:t>
                      </w:r>
                    </w:p>
                  </w:txbxContent>
                </v:textbox>
              </v:shape>
            </w:pict>
          </mc:Fallback>
        </mc:AlternateContent>
      </w:r>
      <w:r w:rsidR="00400786" w:rsidRPr="00B81A47">
        <w:rPr>
          <w:rFonts w:cs="Arial"/>
          <w:noProof/>
          <w:color w:val="000000" w:themeColor="text1"/>
          <w:lang w:eastAsia="it-IT"/>
        </w:rPr>
        <mc:AlternateContent>
          <mc:Choice Requires="wps">
            <w:drawing>
              <wp:anchor distT="0" distB="0" distL="114300" distR="114300" simplePos="0" relativeHeight="251707392" behindDoc="0" locked="0" layoutInCell="1" allowOverlap="1" wp14:anchorId="29EE7584" wp14:editId="3C1EFF34">
                <wp:simplePos x="0" y="0"/>
                <wp:positionH relativeFrom="column">
                  <wp:posOffset>3451860</wp:posOffset>
                </wp:positionH>
                <wp:positionV relativeFrom="paragraph">
                  <wp:posOffset>2041525</wp:posOffset>
                </wp:positionV>
                <wp:extent cx="9525" cy="1071245"/>
                <wp:effectExtent l="133350" t="19050" r="123825" b="52705"/>
                <wp:wrapNone/>
                <wp:docPr id="115" name="Connettore 2 15"/>
                <wp:cNvGraphicFramePr/>
                <a:graphic xmlns:a="http://schemas.openxmlformats.org/drawingml/2006/main">
                  <a:graphicData uri="http://schemas.microsoft.com/office/word/2010/wordprocessingShape">
                    <wps:wsp>
                      <wps:cNvCnPr/>
                      <wps:spPr>
                        <a:xfrm flipH="1">
                          <a:off x="0" y="0"/>
                          <a:ext cx="9525" cy="1071245"/>
                        </a:xfrm>
                        <a:prstGeom prst="straightConnector1">
                          <a:avLst/>
                        </a:prstGeom>
                        <a:noFill/>
                        <a:ln w="2857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nettore 2 15" o:spid="_x0000_s1026" type="#_x0000_t32" style="position:absolute;margin-left:271.8pt;margin-top:160.75pt;width:.75pt;height:84.35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" strokecolor="#4a7ebb" strokeweight="2.25pt">
                <v:stroke endarrow="open"/>
              </v:shape>
            </w:pict>
          </mc:Fallback>
        </mc:AlternateContent>
      </w:r>
      <w:r w:rsidR="00400786" w:rsidRPr="00B81A47">
        <w:rPr>
          <w:rFonts w:cs="Arial"/>
          <w:noProof/>
          <w:color w:val="000000" w:themeColor="text1"/>
          <w:lang w:eastAsia="it-IT"/>
        </w:rPr>
        <mc:AlternateContent>
          <mc:Choice Requires="wps">
            <w:drawing>
              <wp:anchor distT="0" distB="0" distL="114300" distR="114300" simplePos="0" relativeHeight="251703296" behindDoc="0" locked="0" layoutInCell="1" allowOverlap="1" wp14:anchorId="0C3134DA" wp14:editId="56C54332">
                <wp:simplePos x="0" y="0"/>
                <wp:positionH relativeFrom="column">
                  <wp:posOffset>1736725</wp:posOffset>
                </wp:positionH>
                <wp:positionV relativeFrom="paragraph">
                  <wp:posOffset>1144270</wp:posOffset>
                </wp:positionV>
                <wp:extent cx="641350" cy="368935"/>
                <wp:effectExtent l="0" t="0" r="0" b="0"/>
                <wp:wrapNone/>
                <wp:docPr id="113"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20,1</w:t>
                            </w:r>
                            <w:r w:rsidRPr="00B81A47">
                              <w:rPr>
                                <w:rFonts w:asciiTheme="minorHAnsi" w:hAnsi="Calibri" w:cstheme="minorBidi"/>
                                <w:b/>
                                <w:color w:val="000000" w:themeColor="text1"/>
                                <w:kern w:val="24"/>
                                <w:sz w:val="28"/>
                                <w:szCs w:val="28"/>
                              </w:rPr>
                              <w:t>%</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136.75pt;margin-top:90.1pt;width:50.5pt;height:29.05pt;z-index:25170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" filled="f" stroked="f">
                <v:textbox style="mso-fit-shape-to-text:t">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20,1</w:t>
                      </w:r>
                      <w:r w:rsidRPr="00B81A47">
                        <w:rPr>
                          <w:rFonts w:asciiTheme="minorHAnsi" w:hAnsi="Calibri" w:cstheme="minorBidi"/>
                          <w:b/>
                          <w:color w:val="000000" w:themeColor="text1"/>
                          <w:kern w:val="24"/>
                          <w:sz w:val="28"/>
                          <w:szCs w:val="28"/>
                        </w:rPr>
                        <w:t>%</w:t>
                      </w:r>
                    </w:p>
                  </w:txbxContent>
                </v:textbox>
              </v:shape>
            </w:pict>
          </mc:Fallback>
        </mc:AlternateContent>
      </w:r>
      <w:r w:rsidR="00400786" w:rsidRPr="00B81A47">
        <w:rPr>
          <w:rFonts w:cs="Arial"/>
          <w:noProof/>
          <w:color w:val="000000" w:themeColor="text1"/>
          <w:lang w:eastAsia="it-IT"/>
        </w:rPr>
        <mc:AlternateContent>
          <mc:Choice Requires="wps">
            <w:drawing>
              <wp:anchor distT="0" distB="0" distL="114300" distR="114300" simplePos="0" relativeHeight="251701248" behindDoc="0" locked="0" layoutInCell="1" allowOverlap="1" wp14:anchorId="68AFB140" wp14:editId="372FC728">
                <wp:simplePos x="0" y="0"/>
                <wp:positionH relativeFrom="column">
                  <wp:posOffset>2280285</wp:posOffset>
                </wp:positionH>
                <wp:positionV relativeFrom="paragraph">
                  <wp:posOffset>1327150</wp:posOffset>
                </wp:positionV>
                <wp:extent cx="732790" cy="0"/>
                <wp:effectExtent l="38100" t="133350" r="0" b="133350"/>
                <wp:wrapNone/>
                <wp:docPr id="112" name="Connettore 2 24"/>
                <wp:cNvGraphicFramePr/>
                <a:graphic xmlns:a="http://schemas.openxmlformats.org/drawingml/2006/main">
                  <a:graphicData uri="http://schemas.microsoft.com/office/word/2010/wordprocessingShape">
                    <wps:wsp>
                      <wps:cNvCnPr/>
                      <wps:spPr>
                        <a:xfrm flipH="1">
                          <a:off x="0" y="0"/>
                          <a:ext cx="732790" cy="0"/>
                        </a:xfrm>
                        <a:prstGeom prst="straightConnector1">
                          <a:avLst/>
                        </a:prstGeom>
                        <a:noFill/>
                        <a:ln w="2857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nettore 2 24" o:spid="_x0000_s1026" type="#_x0000_t32" style="position:absolute;margin-left:179.55pt;margin-top:104.5pt;width:57.7pt;height:0;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" strokecolor="#4a7ebb" strokeweight="2.25pt">
                <v:stroke endarrow="open"/>
              </v:shape>
            </w:pict>
          </mc:Fallback>
        </mc:AlternateContent>
      </w:r>
      <w:r w:rsidR="00400786" w:rsidRPr="00B81A47">
        <w:rPr>
          <w:rFonts w:cs="Arial"/>
          <w:noProof/>
          <w:color w:val="000000" w:themeColor="text1"/>
          <w:lang w:eastAsia="it-IT"/>
        </w:rPr>
        <mc:AlternateContent>
          <mc:Choice Requires="wps">
            <w:drawing>
              <wp:anchor distT="0" distB="0" distL="114300" distR="114300" simplePos="0" relativeHeight="251699200" behindDoc="0" locked="0" layoutInCell="1" allowOverlap="1" wp14:anchorId="3EF81A61" wp14:editId="4F18D4B4">
                <wp:simplePos x="0" y="0"/>
                <wp:positionH relativeFrom="column">
                  <wp:posOffset>641985</wp:posOffset>
                </wp:positionH>
                <wp:positionV relativeFrom="paragraph">
                  <wp:posOffset>688975</wp:posOffset>
                </wp:positionV>
                <wp:extent cx="732790" cy="0"/>
                <wp:effectExtent l="38100" t="133350" r="0" b="133350"/>
                <wp:wrapNone/>
                <wp:docPr id="111" name="Connettore 2 24"/>
                <wp:cNvGraphicFramePr/>
                <a:graphic xmlns:a="http://schemas.openxmlformats.org/drawingml/2006/main">
                  <a:graphicData uri="http://schemas.microsoft.com/office/word/2010/wordprocessingShape">
                    <wps:wsp>
                      <wps:cNvCnPr/>
                      <wps:spPr>
                        <a:xfrm flipH="1">
                          <a:off x="0" y="0"/>
                          <a:ext cx="732790" cy="0"/>
                        </a:xfrm>
                        <a:prstGeom prst="straightConnector1">
                          <a:avLst/>
                        </a:prstGeom>
                        <a:noFill/>
                        <a:ln w="2857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nettore 2 24" o:spid="_x0000_s1026" type="#_x0000_t32" style="position:absolute;margin-left:50.55pt;margin-top:54.25pt;width:57.7pt;height:0;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" strokecolor="#4a7ebb" strokeweight="2.25pt">
                <v:stroke endarrow="open"/>
              </v:shape>
            </w:pict>
          </mc:Fallback>
        </mc:AlternateContent>
      </w:r>
      <w:r w:rsidR="00400786" w:rsidRPr="00B81A47">
        <w:rPr>
          <w:rFonts w:cs="Arial"/>
          <w:noProof/>
          <w:color w:val="000000" w:themeColor="text1"/>
          <w:lang w:eastAsia="it-IT"/>
        </w:rPr>
        <mc:AlternateContent>
          <mc:Choice Requires="wps">
            <w:drawing>
              <wp:anchor distT="0" distB="0" distL="114300" distR="114300" simplePos="0" relativeHeight="251675648" behindDoc="0" locked="0" layoutInCell="1" allowOverlap="1" wp14:anchorId="06A4D297" wp14:editId="7C2F8C1F">
                <wp:simplePos x="0" y="0"/>
                <wp:positionH relativeFrom="column">
                  <wp:posOffset>708660</wp:posOffset>
                </wp:positionH>
                <wp:positionV relativeFrom="paragraph">
                  <wp:posOffset>2432050</wp:posOffset>
                </wp:positionV>
                <wp:extent cx="770890" cy="0"/>
                <wp:effectExtent l="38100" t="133350" r="0" b="133350"/>
                <wp:wrapNone/>
                <wp:docPr id="89" name="Connettore 2 24"/>
                <wp:cNvGraphicFramePr/>
                <a:graphic xmlns:a="http://schemas.openxmlformats.org/drawingml/2006/main">
                  <a:graphicData uri="http://schemas.microsoft.com/office/word/2010/wordprocessingShape">
                    <wps:wsp>
                      <wps:cNvCnPr/>
                      <wps:spPr>
                        <a:xfrm flipH="1">
                          <a:off x="0" y="0"/>
                          <a:ext cx="770890"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ttore 2 24" o:spid="_x0000_s1026" type="#_x0000_t32" style="position:absolute;margin-left:55.8pt;margin-top:191.5pt;width:60.7pt;height:0;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" strokecolor="#4579b8 [3044]" strokeweight="2.25pt">
                <v:stroke endarrow="open"/>
              </v:shape>
            </w:pict>
          </mc:Fallback>
        </mc:AlternateContent>
      </w:r>
      <w:r w:rsidR="00400786" w:rsidRPr="00B81A47">
        <w:rPr>
          <w:rFonts w:cs="Arial"/>
          <w:noProof/>
          <w:color w:val="000000" w:themeColor="text1"/>
          <w:lang w:eastAsia="it-IT"/>
        </w:rPr>
        <mc:AlternateContent>
          <mc:Choice Requires="wps">
            <w:drawing>
              <wp:anchor distT="0" distB="0" distL="114300" distR="114300" simplePos="0" relativeHeight="251695104" behindDoc="0" locked="0" layoutInCell="1" allowOverlap="1" wp14:anchorId="471F73FA" wp14:editId="1CB11B42">
                <wp:simplePos x="0" y="0"/>
                <wp:positionH relativeFrom="column">
                  <wp:posOffset>641985</wp:posOffset>
                </wp:positionH>
                <wp:positionV relativeFrom="paragraph">
                  <wp:posOffset>1689100</wp:posOffset>
                </wp:positionV>
                <wp:extent cx="732790" cy="0"/>
                <wp:effectExtent l="38100" t="133350" r="0" b="133350"/>
                <wp:wrapNone/>
                <wp:docPr id="109" name="Connettore 2 24"/>
                <wp:cNvGraphicFramePr/>
                <a:graphic xmlns:a="http://schemas.openxmlformats.org/drawingml/2006/main">
                  <a:graphicData uri="http://schemas.microsoft.com/office/word/2010/wordprocessingShape">
                    <wps:wsp>
                      <wps:cNvCnPr/>
                      <wps:spPr>
                        <a:xfrm flipH="1">
                          <a:off x="0" y="0"/>
                          <a:ext cx="732790" cy="0"/>
                        </a:xfrm>
                        <a:prstGeom prst="straightConnector1">
                          <a:avLst/>
                        </a:prstGeom>
                        <a:noFill/>
                        <a:ln w="2857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nettore 2 24" o:spid="_x0000_s1026" type="#_x0000_t32" style="position:absolute;margin-left:50.55pt;margin-top:133pt;width:57.7pt;height:0;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" strokecolor="#4a7ebb" strokeweight="2.25pt">
                <v:stroke endarrow="open"/>
              </v:shape>
            </w:pict>
          </mc:Fallback>
        </mc:AlternateContent>
      </w:r>
      <w:r w:rsidR="00400786" w:rsidRPr="00B81A47">
        <w:rPr>
          <w:rFonts w:cs="Arial"/>
          <w:noProof/>
          <w:color w:val="000000" w:themeColor="text1"/>
          <w:lang w:eastAsia="it-IT"/>
        </w:rPr>
        <mc:AlternateContent>
          <mc:Choice Requires="wps">
            <w:drawing>
              <wp:anchor distT="0" distB="0" distL="114300" distR="114300" simplePos="0" relativeHeight="251697152" behindDoc="0" locked="0" layoutInCell="1" allowOverlap="1" wp14:anchorId="516F79DC" wp14:editId="3CA2C051">
                <wp:simplePos x="0" y="0"/>
                <wp:positionH relativeFrom="column">
                  <wp:posOffset>56515</wp:posOffset>
                </wp:positionH>
                <wp:positionV relativeFrom="paragraph">
                  <wp:posOffset>1525270</wp:posOffset>
                </wp:positionV>
                <wp:extent cx="641350" cy="368935"/>
                <wp:effectExtent l="0" t="0" r="0" b="0"/>
                <wp:wrapNone/>
                <wp:docPr id="110" name="CasellaDiTesto 25"/>
                <wp:cNvGraphicFramePr/>
                <a:graphic xmlns:a="http://schemas.openxmlformats.org/drawingml/2006/main">
                  <a:graphicData uri="http://schemas.microsoft.com/office/word/2010/wordprocessingShape">
                    <wps:wsp>
                      <wps:cNvSpPr txBox="1"/>
                      <wps:spPr>
                        <a:xfrm>
                          <a:off x="0" y="0"/>
                          <a:ext cx="641350" cy="368935"/>
                        </a:xfrm>
                        <a:prstGeom prst="rect">
                          <a:avLst/>
                        </a:prstGeom>
                        <a:noFill/>
                      </wps:spPr>
                      <wps:txbx>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2,7</w:t>
                            </w:r>
                            <w:r w:rsidRPr="00B81A47">
                              <w:rPr>
                                <w:rFonts w:asciiTheme="minorHAnsi" w:hAnsi="Calibri" w:cstheme="minorBidi"/>
                                <w:b/>
                                <w:color w:val="000000" w:themeColor="text1"/>
                                <w:kern w:val="24"/>
                                <w:sz w:val="28"/>
                                <w:szCs w:val="28"/>
                              </w:rPr>
                              <w:t>%</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4.45pt;margin-top:120.1pt;width:50.5pt;height:29.05pt;z-index:25169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" filled="f" stroked="f">
                <v:textbox style="mso-fit-shape-to-text:t">
                  <w:txbxContent>
                    <w:p w:rsidR="00960A7C" w:rsidRPr="00B81A47" w:rsidRDefault="00960A7C" w:rsidP="00400786">
                      <w:pPr>
                        <w:pStyle w:val="NormaleWeb"/>
                        <w:spacing w:before="0" w:beforeAutospacing="0" w:after="0" w:afterAutospacing="0"/>
                        <w:rPr>
                          <w:b/>
                          <w:sz w:val="28"/>
                          <w:szCs w:val="28"/>
                        </w:rPr>
                      </w:pPr>
                      <w:r>
                        <w:rPr>
                          <w:rFonts w:asciiTheme="minorHAnsi" w:hAnsi="Calibri" w:cstheme="minorBidi"/>
                          <w:b/>
                          <w:color w:val="000000" w:themeColor="text1"/>
                          <w:kern w:val="24"/>
                          <w:sz w:val="28"/>
                          <w:szCs w:val="28"/>
                        </w:rPr>
                        <w:t>2,7</w:t>
                      </w:r>
                      <w:r w:rsidRPr="00B81A47">
                        <w:rPr>
                          <w:rFonts w:asciiTheme="minorHAnsi" w:hAnsi="Calibri" w:cstheme="minorBidi"/>
                          <w:b/>
                          <w:color w:val="000000" w:themeColor="text1"/>
                          <w:kern w:val="24"/>
                          <w:sz w:val="28"/>
                          <w:szCs w:val="28"/>
                        </w:rPr>
                        <w:t>%</w:t>
                      </w:r>
                    </w:p>
                  </w:txbxContent>
                </v:textbox>
              </v:shape>
            </w:pict>
          </mc:Fallback>
        </mc:AlternateContent>
      </w:r>
      <w:r>
        <w:rPr>
          <w:noProof/>
          <w:lang w:eastAsia="it-IT"/>
        </w:rPr>
        <mc:AlternateContent>
          <mc:Choice Requires="wps">
            <w:drawing>
              <wp:anchor distT="0" distB="0" distL="114300" distR="114300" simplePos="0" relativeHeight="251715584" behindDoc="0" locked="0" layoutInCell="1" allowOverlap="1" wp14:anchorId="4AB8C3A2" wp14:editId="2D360062">
                <wp:simplePos x="0" y="0"/>
                <wp:positionH relativeFrom="column">
                  <wp:posOffset>7100570</wp:posOffset>
                </wp:positionH>
                <wp:positionV relativeFrom="paragraph">
                  <wp:posOffset>-1490345</wp:posOffset>
                </wp:positionV>
                <wp:extent cx="468052" cy="0"/>
                <wp:effectExtent l="0" t="133350" r="0" b="133350"/>
                <wp:wrapNone/>
                <wp:docPr id="120" name="Connettore 2 21"/>
                <wp:cNvGraphicFramePr/>
                <a:graphic xmlns:a="http://schemas.openxmlformats.org/drawingml/2006/main">
                  <a:graphicData uri="http://schemas.microsoft.com/office/word/2010/wordprocessingShape">
                    <wps:wsp>
                      <wps:cNvCnPr/>
                      <wps:spPr>
                        <a:xfrm>
                          <a:off x="0" y="0"/>
                          <a:ext cx="468052"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Connettore 2 21" o:spid="_x0000_s1026" type="#_x0000_t32" style="position:absolute;margin-left:559.1pt;margin-top:-117.35pt;width:36.85pt;height:0;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" strokecolor="#4579b8 [3044]" strokeweight="2.25pt">
                <v:stroke endarrow="open"/>
              </v:shape>
            </w:pict>
          </mc:Fallback>
        </mc:AlternateContent>
      </w:r>
      <w:r>
        <w:rPr>
          <w:noProof/>
          <w:lang w:eastAsia="it-IT"/>
        </w:rPr>
        <mc:AlternateContent>
          <mc:Choice Requires="wps">
            <w:drawing>
              <wp:anchor distT="0" distB="0" distL="114300" distR="114300" simplePos="0" relativeHeight="251717632" behindDoc="0" locked="0" layoutInCell="1" allowOverlap="1" wp14:anchorId="0BB983F9" wp14:editId="6708AF29">
                <wp:simplePos x="0" y="0"/>
                <wp:positionH relativeFrom="column">
                  <wp:posOffset>7100570</wp:posOffset>
                </wp:positionH>
                <wp:positionV relativeFrom="paragraph">
                  <wp:posOffset>-1490345</wp:posOffset>
                </wp:positionV>
                <wp:extent cx="468052" cy="0"/>
                <wp:effectExtent l="0" t="133350" r="0" b="133350"/>
                <wp:wrapNone/>
                <wp:docPr id="121" name="Connettore 2 21"/>
                <wp:cNvGraphicFramePr/>
                <a:graphic xmlns:a="http://schemas.openxmlformats.org/drawingml/2006/main">
                  <a:graphicData uri="http://schemas.microsoft.com/office/word/2010/wordprocessingShape">
                    <wps:wsp>
                      <wps:cNvCnPr/>
                      <wps:spPr>
                        <a:xfrm>
                          <a:off x="0" y="0"/>
                          <a:ext cx="468052" cy="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Connettore 2 21" o:spid="_x0000_s1026" type="#_x0000_t32" style="position:absolute;margin-left:559.1pt;margin-top:-117.35pt;width:36.85pt;height:0;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" strokecolor="#4579b8 [3044]" strokeweight="2.25pt">
                <v:stroke endarrow="open"/>
              </v:shape>
            </w:pict>
          </mc:Fallback>
        </mc:AlternateContent>
      </w:r>
      <w:r w:rsidR="00B81A47" w:rsidRPr="00B81A47">
        <w:rPr>
          <w:rFonts w:cs="Arial"/>
          <w:noProof/>
          <w:color w:val="000000" w:themeColor="text1"/>
          <w:lang w:eastAsia="it-IT"/>
        </w:rPr>
        <w:drawing>
          <wp:inline distT="0" distB="0" distL="0" distR="0" wp14:anchorId="5334B194" wp14:editId="278D5402">
            <wp:extent cx="6120130" cy="3621016"/>
            <wp:effectExtent l="0" t="0" r="0" b="0"/>
            <wp:docPr id="61" name="Picture 4" descr="Clicca per ingrandire la cartina">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 descr="Clicca per ingrandire la cartina">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0130" cy="3621016"/>
                    </a:xfrm>
                    <a:prstGeom prst="rect">
                      <a:avLst/>
                    </a:prstGeom>
                    <a:noFill/>
                    <a:extLst/>
                  </pic:spPr>
                </pic:pic>
              </a:graphicData>
            </a:graphic>
          </wp:inline>
        </w:drawing>
      </w:r>
    </w:p>
    <w:p w:rsidR="00B81A47" w:rsidRDefault="00B81A47" w:rsidP="00B81A47">
      <w:pPr>
        <w:jc w:val="both"/>
        <w:rPr>
          <w:rStyle w:val="st1"/>
          <w:rFonts w:cs="Arial"/>
          <w:color w:val="000000" w:themeColor="text1"/>
        </w:rPr>
      </w:pPr>
    </w:p>
    <w:p w:rsidR="00787B21" w:rsidRPr="00A931C7" w:rsidRDefault="00787B21" w:rsidP="00787B21">
      <w:pPr>
        <w:jc w:val="both"/>
        <w:rPr>
          <w:rStyle w:val="st1"/>
          <w:rFonts w:cs="Arial"/>
        </w:rPr>
      </w:pPr>
      <w:r w:rsidRPr="00A931C7">
        <w:rPr>
          <w:rStyle w:val="st1"/>
          <w:rFonts w:cs="Arial"/>
        </w:rPr>
        <w:t>Il trend delle nascite e della percentuale dei nati stranieri è simile nelle due provincie ed in linea con il dato regionale e nazionale, registrando una flessione costante dal 2010. Anche la numerosità dei nati stranieri, tradizionalmente più fecondi, tende a stabilizzarsi negli ultimi anni, verosimile segno che la crisi economica ha investito anche questa parte della popolazione.</w:t>
      </w:r>
    </w:p>
    <w:p w:rsidR="00E62FBA" w:rsidRPr="00A931C7" w:rsidRDefault="00787B21" w:rsidP="00787B21">
      <w:pPr>
        <w:jc w:val="both"/>
        <w:rPr>
          <w:rStyle w:val="st1"/>
          <w:rFonts w:cs="Arial"/>
        </w:rPr>
      </w:pPr>
      <w:r w:rsidRPr="00A931C7">
        <w:rPr>
          <w:rStyle w:val="st1"/>
          <w:rFonts w:cs="Arial"/>
        </w:rPr>
        <w:t>I tassi di abortività spontanea e volontaria sono simili nelle due provincie e in linea con quelli regionali e nazionali</w:t>
      </w:r>
    </w:p>
    <w:p w:rsidR="003F52D1" w:rsidRPr="000C5A52" w:rsidRDefault="00E62FBA" w:rsidP="00787B21">
      <w:pPr>
        <w:jc w:val="both"/>
        <w:rPr>
          <w:noProof/>
          <w:color w:val="FF0000"/>
          <w:lang w:eastAsia="it-IT"/>
        </w:rPr>
      </w:pPr>
      <w:r w:rsidRPr="000C5A52">
        <w:rPr>
          <w:noProof/>
          <w:color w:val="FF0000"/>
          <w:lang w:eastAsia="it-IT"/>
        </w:rPr>
        <w:drawing>
          <wp:inline distT="0" distB="0" distL="0" distR="0" wp14:anchorId="2D56306B" wp14:editId="5E8C449F">
            <wp:extent cx="3179135" cy="2381693"/>
            <wp:effectExtent l="0" t="0" r="21590" b="19050"/>
            <wp:docPr id="128" name="Grafico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003F52D1" w:rsidRPr="000C5A52">
        <w:rPr>
          <w:noProof/>
          <w:color w:val="FF0000"/>
          <w:lang w:eastAsia="it-IT"/>
        </w:rPr>
        <w:t xml:space="preserve"> </w:t>
      </w:r>
    </w:p>
    <w:p w:rsidR="00E62FBA" w:rsidRPr="00787B21" w:rsidRDefault="003F52D1" w:rsidP="00787B21">
      <w:pPr>
        <w:jc w:val="both"/>
        <w:rPr>
          <w:rStyle w:val="st1"/>
          <w:rFonts w:cs="Arial"/>
          <w:color w:val="000000" w:themeColor="text1"/>
        </w:rPr>
      </w:pPr>
      <w:r>
        <w:rPr>
          <w:noProof/>
          <w:lang w:eastAsia="it-IT"/>
        </w:rPr>
        <w:lastRenderedPageBreak/>
        <w:drawing>
          <wp:inline distT="0" distB="0" distL="0" distR="0" wp14:anchorId="6B677914" wp14:editId="7B9CE33B">
            <wp:extent cx="3179135" cy="2604977"/>
            <wp:effectExtent l="0" t="0" r="21590" b="24130"/>
            <wp:docPr id="132" name="Grafico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Pr="003F52D1">
        <w:rPr>
          <w:noProof/>
          <w:lang w:eastAsia="it-IT"/>
        </w:rPr>
        <w:t xml:space="preserve"> </w:t>
      </w:r>
      <w:r>
        <w:rPr>
          <w:noProof/>
          <w:lang w:eastAsia="it-IT"/>
        </w:rPr>
        <w:drawing>
          <wp:inline distT="0" distB="0" distL="0" distR="0" wp14:anchorId="4CC64F16" wp14:editId="6ED4D42F">
            <wp:extent cx="2838893" cy="2604977"/>
            <wp:effectExtent l="0" t="0" r="19050" b="24130"/>
            <wp:docPr id="131" name="Grafico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B33A72" w:rsidRPr="00A931C7" w:rsidRDefault="00B33A72" w:rsidP="00B33A72">
      <w:pPr>
        <w:jc w:val="both"/>
        <w:rPr>
          <w:rStyle w:val="st1"/>
          <w:rFonts w:cs="Arial"/>
          <w:b/>
        </w:rPr>
      </w:pPr>
      <w:r w:rsidRPr="00A931C7">
        <w:rPr>
          <w:rStyle w:val="st1"/>
          <w:rFonts w:cs="Arial"/>
          <w:b/>
        </w:rPr>
        <w:t xml:space="preserve">La gravidanza </w:t>
      </w:r>
    </w:p>
    <w:p w:rsidR="00B33A72" w:rsidRPr="00A931C7" w:rsidRDefault="00B33A72" w:rsidP="00B33A72">
      <w:pPr>
        <w:jc w:val="both"/>
        <w:rPr>
          <w:rStyle w:val="st1"/>
          <w:rFonts w:cs="Arial"/>
        </w:rPr>
      </w:pPr>
      <w:r w:rsidRPr="00A931C7">
        <w:rPr>
          <w:rStyle w:val="st1"/>
          <w:rFonts w:cs="Arial"/>
        </w:rPr>
        <w:t>La popolazione delle due provincie è simile per struttura, ma un po’ diversa per numerosità, come da tabella che segue.</w:t>
      </w:r>
    </w:p>
    <w:tbl>
      <w:tblPr>
        <w:tblW w:w="5706" w:type="dxa"/>
        <w:jc w:val="center"/>
        <w:tblCellMar>
          <w:left w:w="70" w:type="dxa"/>
          <w:right w:w="70" w:type="dxa"/>
        </w:tblCellMar>
        <w:tblLook w:val="04A0" w:firstRow="1" w:lastRow="0" w:firstColumn="1" w:lastColumn="0" w:noHBand="0" w:noVBand="1"/>
      </w:tblPr>
      <w:tblGrid>
        <w:gridCol w:w="2627"/>
        <w:gridCol w:w="1356"/>
        <w:gridCol w:w="1723"/>
      </w:tblGrid>
      <w:tr w:rsidR="000C5A52" w:rsidRPr="00A931C7" w:rsidTr="005A0025">
        <w:trPr>
          <w:trHeight w:val="298"/>
          <w:jc w:val="center"/>
        </w:trPr>
        <w:tc>
          <w:tcPr>
            <w:tcW w:w="26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33A72" w:rsidRPr="00A931C7" w:rsidRDefault="00B33A72" w:rsidP="005A0025">
            <w:pPr>
              <w:rPr>
                <w:rFonts w:eastAsia="Times New Roman" w:cs="Times New Roman"/>
                <w:b/>
              </w:rPr>
            </w:pPr>
            <w:r w:rsidRPr="00A931C7">
              <w:rPr>
                <w:rFonts w:eastAsia="Times New Roman" w:cs="Times New Roman"/>
                <w:b/>
              </w:rPr>
              <w:t>Indicatori</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B33A72" w:rsidRPr="00A931C7" w:rsidRDefault="00B33A72" w:rsidP="005A0025">
            <w:pPr>
              <w:rPr>
                <w:rFonts w:eastAsia="Times New Roman" w:cs="Times New Roman"/>
              </w:rPr>
            </w:pPr>
            <w:r w:rsidRPr="00A931C7">
              <w:rPr>
                <w:rFonts w:eastAsia="Times New Roman" w:cs="Times New Roman"/>
              </w:rPr>
              <w:t>Mantova</w:t>
            </w:r>
          </w:p>
        </w:tc>
        <w:tc>
          <w:tcPr>
            <w:tcW w:w="1723" w:type="dxa"/>
            <w:tcBorders>
              <w:top w:val="single" w:sz="4" w:space="0" w:color="auto"/>
              <w:left w:val="nil"/>
              <w:bottom w:val="single" w:sz="4" w:space="0" w:color="auto"/>
              <w:right w:val="single" w:sz="4" w:space="0" w:color="auto"/>
            </w:tcBorders>
            <w:shd w:val="clear" w:color="auto" w:fill="auto"/>
            <w:noWrap/>
            <w:vAlign w:val="bottom"/>
            <w:hideMark/>
          </w:tcPr>
          <w:p w:rsidR="00B33A72" w:rsidRPr="00A931C7" w:rsidRDefault="00B33A72" w:rsidP="005A0025">
            <w:pPr>
              <w:rPr>
                <w:rFonts w:eastAsia="Times New Roman" w:cs="Times New Roman"/>
              </w:rPr>
            </w:pPr>
            <w:r w:rsidRPr="00A931C7">
              <w:rPr>
                <w:rFonts w:eastAsia="Times New Roman" w:cs="Times New Roman"/>
              </w:rPr>
              <w:t>Cremona</w:t>
            </w:r>
          </w:p>
        </w:tc>
      </w:tr>
      <w:tr w:rsidR="000C5A52" w:rsidRPr="00A931C7" w:rsidTr="005A0025">
        <w:trPr>
          <w:trHeight w:val="298"/>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B33A72" w:rsidRPr="00A931C7" w:rsidRDefault="00B33A72" w:rsidP="005A0025">
            <w:pPr>
              <w:rPr>
                <w:rFonts w:eastAsia="Times New Roman" w:cs="Times New Roman"/>
              </w:rPr>
            </w:pPr>
            <w:r w:rsidRPr="00A931C7">
              <w:rPr>
                <w:rFonts w:eastAsia="Times New Roman" w:cs="Times New Roman"/>
              </w:rPr>
              <w:t>Residenti</w:t>
            </w:r>
          </w:p>
        </w:tc>
        <w:tc>
          <w:tcPr>
            <w:tcW w:w="1356" w:type="dxa"/>
            <w:tcBorders>
              <w:top w:val="nil"/>
              <w:left w:val="nil"/>
              <w:bottom w:val="single" w:sz="4" w:space="0" w:color="auto"/>
              <w:right w:val="single" w:sz="4" w:space="0" w:color="auto"/>
            </w:tcBorders>
            <w:shd w:val="clear" w:color="auto" w:fill="auto"/>
            <w:noWrap/>
            <w:vAlign w:val="bottom"/>
            <w:hideMark/>
          </w:tcPr>
          <w:p w:rsidR="00B33A72" w:rsidRPr="00A931C7" w:rsidRDefault="00B33A72" w:rsidP="005A0025">
            <w:pPr>
              <w:jc w:val="right"/>
              <w:rPr>
                <w:rFonts w:eastAsia="Times New Roman" w:cs="Times New Roman"/>
              </w:rPr>
            </w:pPr>
            <w:r w:rsidRPr="00A931C7">
              <w:rPr>
                <w:rFonts w:eastAsia="Times New Roman" w:cs="Times New Roman"/>
              </w:rPr>
              <w:t>415.000</w:t>
            </w:r>
          </w:p>
        </w:tc>
        <w:tc>
          <w:tcPr>
            <w:tcW w:w="1723" w:type="dxa"/>
            <w:tcBorders>
              <w:top w:val="nil"/>
              <w:left w:val="nil"/>
              <w:bottom w:val="single" w:sz="4" w:space="0" w:color="auto"/>
              <w:right w:val="single" w:sz="4" w:space="0" w:color="auto"/>
            </w:tcBorders>
            <w:shd w:val="clear" w:color="auto" w:fill="auto"/>
            <w:noWrap/>
            <w:vAlign w:val="bottom"/>
            <w:hideMark/>
          </w:tcPr>
          <w:p w:rsidR="00B33A72" w:rsidRPr="00A931C7" w:rsidRDefault="00B33A72" w:rsidP="005A0025">
            <w:pPr>
              <w:jc w:val="right"/>
              <w:rPr>
                <w:rFonts w:eastAsia="Times New Roman" w:cs="Times New Roman"/>
              </w:rPr>
            </w:pPr>
            <w:r w:rsidRPr="00A931C7">
              <w:rPr>
                <w:rFonts w:eastAsia="Times New Roman" w:cs="Times New Roman"/>
              </w:rPr>
              <w:t>361.000</w:t>
            </w:r>
          </w:p>
        </w:tc>
      </w:tr>
      <w:tr w:rsidR="000C5A52" w:rsidRPr="00A931C7" w:rsidTr="005A0025">
        <w:trPr>
          <w:trHeight w:val="298"/>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B33A72" w:rsidRPr="00A931C7" w:rsidRDefault="00B33A72" w:rsidP="005A0025">
            <w:pPr>
              <w:rPr>
                <w:rFonts w:eastAsia="Times New Roman" w:cs="Times New Roman"/>
              </w:rPr>
            </w:pPr>
            <w:r w:rsidRPr="00A931C7">
              <w:rPr>
                <w:rFonts w:eastAsia="Times New Roman" w:cs="Times New Roman"/>
              </w:rPr>
              <w:t>Nati vivi</w:t>
            </w:r>
          </w:p>
        </w:tc>
        <w:tc>
          <w:tcPr>
            <w:tcW w:w="1356" w:type="dxa"/>
            <w:tcBorders>
              <w:top w:val="nil"/>
              <w:left w:val="nil"/>
              <w:bottom w:val="single" w:sz="4" w:space="0" w:color="auto"/>
              <w:right w:val="single" w:sz="4" w:space="0" w:color="auto"/>
            </w:tcBorders>
            <w:shd w:val="clear" w:color="auto" w:fill="auto"/>
            <w:noWrap/>
            <w:vAlign w:val="bottom"/>
            <w:hideMark/>
          </w:tcPr>
          <w:p w:rsidR="00B33A72" w:rsidRPr="00A931C7" w:rsidRDefault="00B33A72" w:rsidP="005A0025">
            <w:pPr>
              <w:jc w:val="right"/>
              <w:rPr>
                <w:rFonts w:eastAsia="Times New Roman" w:cs="Times New Roman"/>
              </w:rPr>
            </w:pPr>
            <w:r w:rsidRPr="00A931C7">
              <w:rPr>
                <w:rFonts w:eastAsia="Times New Roman" w:cs="Times New Roman"/>
              </w:rPr>
              <w:t>3496</w:t>
            </w:r>
          </w:p>
        </w:tc>
        <w:tc>
          <w:tcPr>
            <w:tcW w:w="1723" w:type="dxa"/>
            <w:tcBorders>
              <w:top w:val="nil"/>
              <w:left w:val="nil"/>
              <w:bottom w:val="single" w:sz="4" w:space="0" w:color="auto"/>
              <w:right w:val="single" w:sz="4" w:space="0" w:color="auto"/>
            </w:tcBorders>
            <w:shd w:val="clear" w:color="auto" w:fill="auto"/>
            <w:noWrap/>
            <w:vAlign w:val="bottom"/>
            <w:hideMark/>
          </w:tcPr>
          <w:p w:rsidR="00B33A72" w:rsidRPr="00A931C7" w:rsidRDefault="00B33A72" w:rsidP="005A0025">
            <w:pPr>
              <w:jc w:val="right"/>
              <w:rPr>
                <w:rFonts w:eastAsia="Times New Roman" w:cs="Times New Roman"/>
              </w:rPr>
            </w:pPr>
            <w:r w:rsidRPr="00A931C7">
              <w:rPr>
                <w:rFonts w:eastAsia="Times New Roman" w:cs="Times New Roman"/>
              </w:rPr>
              <w:t>2922</w:t>
            </w:r>
          </w:p>
        </w:tc>
      </w:tr>
      <w:tr w:rsidR="000C5A52" w:rsidRPr="00A931C7" w:rsidTr="005A0025">
        <w:trPr>
          <w:trHeight w:val="298"/>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B33A72" w:rsidRPr="00A931C7" w:rsidRDefault="00B33A72" w:rsidP="005A0025">
            <w:pPr>
              <w:rPr>
                <w:rFonts w:eastAsia="Times New Roman" w:cs="Times New Roman"/>
              </w:rPr>
            </w:pPr>
            <w:r w:rsidRPr="00A931C7">
              <w:rPr>
                <w:rFonts w:eastAsia="Times New Roman" w:cs="Times New Roman"/>
              </w:rPr>
              <w:t>Nati morti</w:t>
            </w:r>
          </w:p>
        </w:tc>
        <w:tc>
          <w:tcPr>
            <w:tcW w:w="1356" w:type="dxa"/>
            <w:tcBorders>
              <w:top w:val="nil"/>
              <w:left w:val="nil"/>
              <w:bottom w:val="single" w:sz="4" w:space="0" w:color="auto"/>
              <w:right w:val="single" w:sz="4" w:space="0" w:color="auto"/>
            </w:tcBorders>
            <w:shd w:val="clear" w:color="auto" w:fill="auto"/>
            <w:noWrap/>
            <w:vAlign w:val="bottom"/>
            <w:hideMark/>
          </w:tcPr>
          <w:p w:rsidR="00B33A72" w:rsidRPr="00A931C7" w:rsidRDefault="00B33A72" w:rsidP="005A0025">
            <w:pPr>
              <w:jc w:val="right"/>
              <w:rPr>
                <w:rFonts w:eastAsia="Times New Roman" w:cs="Times New Roman"/>
              </w:rPr>
            </w:pPr>
            <w:r w:rsidRPr="00A931C7">
              <w:rPr>
                <w:rFonts w:eastAsia="Times New Roman" w:cs="Times New Roman"/>
              </w:rPr>
              <w:t>12</w:t>
            </w:r>
          </w:p>
        </w:tc>
        <w:tc>
          <w:tcPr>
            <w:tcW w:w="1723" w:type="dxa"/>
            <w:tcBorders>
              <w:top w:val="nil"/>
              <w:left w:val="nil"/>
              <w:bottom w:val="single" w:sz="4" w:space="0" w:color="auto"/>
              <w:right w:val="single" w:sz="4" w:space="0" w:color="auto"/>
            </w:tcBorders>
            <w:shd w:val="clear" w:color="auto" w:fill="auto"/>
            <w:noWrap/>
            <w:vAlign w:val="bottom"/>
            <w:hideMark/>
          </w:tcPr>
          <w:p w:rsidR="00B33A72" w:rsidRPr="00A931C7" w:rsidRDefault="00B33A72" w:rsidP="005A0025">
            <w:pPr>
              <w:jc w:val="right"/>
              <w:rPr>
                <w:rFonts w:eastAsia="Times New Roman" w:cs="Times New Roman"/>
              </w:rPr>
            </w:pPr>
            <w:r w:rsidRPr="00A931C7">
              <w:rPr>
                <w:rFonts w:eastAsia="Times New Roman" w:cs="Times New Roman"/>
              </w:rPr>
              <w:t>6</w:t>
            </w:r>
          </w:p>
        </w:tc>
      </w:tr>
      <w:tr w:rsidR="00B33A72" w:rsidRPr="00A931C7" w:rsidTr="005A0025">
        <w:trPr>
          <w:trHeight w:val="298"/>
          <w:jc w:val="center"/>
        </w:trPr>
        <w:tc>
          <w:tcPr>
            <w:tcW w:w="2627" w:type="dxa"/>
            <w:tcBorders>
              <w:top w:val="nil"/>
              <w:left w:val="single" w:sz="4" w:space="0" w:color="auto"/>
              <w:bottom w:val="single" w:sz="4" w:space="0" w:color="auto"/>
              <w:right w:val="single" w:sz="4" w:space="0" w:color="auto"/>
            </w:tcBorders>
            <w:shd w:val="clear" w:color="auto" w:fill="auto"/>
            <w:noWrap/>
            <w:vAlign w:val="bottom"/>
            <w:hideMark/>
          </w:tcPr>
          <w:p w:rsidR="00B33A72" w:rsidRPr="00A931C7" w:rsidRDefault="00B33A72" w:rsidP="005A0025">
            <w:pPr>
              <w:rPr>
                <w:rFonts w:eastAsia="Times New Roman" w:cs="Times New Roman"/>
              </w:rPr>
            </w:pPr>
            <w:r w:rsidRPr="00A931C7">
              <w:rPr>
                <w:rFonts w:eastAsia="Times New Roman" w:cs="Times New Roman"/>
              </w:rPr>
              <w:t>Deceduti</w:t>
            </w:r>
          </w:p>
        </w:tc>
        <w:tc>
          <w:tcPr>
            <w:tcW w:w="1356" w:type="dxa"/>
            <w:tcBorders>
              <w:top w:val="nil"/>
              <w:left w:val="nil"/>
              <w:bottom w:val="single" w:sz="4" w:space="0" w:color="auto"/>
              <w:right w:val="single" w:sz="4" w:space="0" w:color="auto"/>
            </w:tcBorders>
            <w:shd w:val="clear" w:color="auto" w:fill="auto"/>
            <w:noWrap/>
            <w:vAlign w:val="bottom"/>
            <w:hideMark/>
          </w:tcPr>
          <w:p w:rsidR="00B33A72" w:rsidRPr="00A931C7" w:rsidRDefault="00B33A72" w:rsidP="005A0025">
            <w:pPr>
              <w:jc w:val="right"/>
              <w:rPr>
                <w:rFonts w:eastAsia="Times New Roman" w:cs="Times New Roman"/>
              </w:rPr>
            </w:pPr>
            <w:r w:rsidRPr="00A931C7">
              <w:rPr>
                <w:rFonts w:eastAsia="Times New Roman" w:cs="Times New Roman"/>
              </w:rPr>
              <w:t>4336</w:t>
            </w:r>
          </w:p>
        </w:tc>
        <w:tc>
          <w:tcPr>
            <w:tcW w:w="1723" w:type="dxa"/>
            <w:tcBorders>
              <w:top w:val="nil"/>
              <w:left w:val="nil"/>
              <w:bottom w:val="single" w:sz="4" w:space="0" w:color="auto"/>
              <w:right w:val="single" w:sz="4" w:space="0" w:color="auto"/>
            </w:tcBorders>
            <w:shd w:val="clear" w:color="auto" w:fill="auto"/>
            <w:noWrap/>
            <w:vAlign w:val="bottom"/>
            <w:hideMark/>
          </w:tcPr>
          <w:p w:rsidR="00B33A72" w:rsidRPr="00A931C7" w:rsidRDefault="00B33A72" w:rsidP="005A0025">
            <w:pPr>
              <w:jc w:val="right"/>
              <w:rPr>
                <w:rFonts w:eastAsia="Times New Roman" w:cs="Times New Roman"/>
              </w:rPr>
            </w:pPr>
            <w:r w:rsidRPr="00A931C7">
              <w:rPr>
                <w:rFonts w:eastAsia="Times New Roman" w:cs="Times New Roman"/>
              </w:rPr>
              <w:t>3884</w:t>
            </w:r>
          </w:p>
        </w:tc>
      </w:tr>
    </w:tbl>
    <w:p w:rsidR="00B33A72" w:rsidRPr="00A931C7" w:rsidRDefault="00B33A72" w:rsidP="00B33A72">
      <w:pPr>
        <w:jc w:val="both"/>
        <w:rPr>
          <w:rStyle w:val="st1"/>
          <w:rFonts w:cs="Arial"/>
        </w:rPr>
      </w:pPr>
    </w:p>
    <w:p w:rsidR="00B33A72" w:rsidRPr="00A931C7" w:rsidRDefault="00B33A72" w:rsidP="00B33A72">
      <w:pPr>
        <w:jc w:val="both"/>
        <w:rPr>
          <w:rStyle w:val="st1"/>
          <w:rFonts w:cs="Arial"/>
        </w:rPr>
      </w:pPr>
      <w:r w:rsidRPr="00A931C7">
        <w:rPr>
          <w:rStyle w:val="st1"/>
          <w:rFonts w:cs="Arial"/>
        </w:rPr>
        <w:t xml:space="preserve">I Punti Nascita (PN) e i Consultori Familiari (CF) pubblici e privati accreditati, che costituiscono modulatori rispettivamente ospedalieri e territoriali dell’assistenza, mostrano una densità di distribuzione molto diversa tra le due ex ASL, come risulta dalla figura che segue. </w:t>
      </w:r>
    </w:p>
    <w:p w:rsidR="00B33A72" w:rsidRPr="00B33A72" w:rsidRDefault="00B33A72" w:rsidP="00B33A72">
      <w:pPr>
        <w:jc w:val="both"/>
        <w:rPr>
          <w:rStyle w:val="st1"/>
          <w:rFonts w:cs="Arial"/>
          <w:color w:val="000000" w:themeColor="text1"/>
        </w:rPr>
      </w:pPr>
    </w:p>
    <w:p w:rsidR="00787B21" w:rsidRPr="00B33A72" w:rsidRDefault="00B33A72" w:rsidP="00B81A47">
      <w:pPr>
        <w:jc w:val="both"/>
        <w:rPr>
          <w:rStyle w:val="st1"/>
          <w:rFonts w:cs="Arial"/>
          <w:color w:val="000000" w:themeColor="text1"/>
        </w:rPr>
      </w:pPr>
      <w:r>
        <w:rPr>
          <w:rFonts w:cs="Arial"/>
          <w:noProof/>
          <w:color w:val="000000" w:themeColor="text1"/>
          <w:lang w:eastAsia="it-IT"/>
        </w:rPr>
        <w:drawing>
          <wp:inline distT="0" distB="0" distL="0" distR="0" wp14:anchorId="75DCFD11" wp14:editId="39E567E4">
            <wp:extent cx="6313356" cy="2339163"/>
            <wp:effectExtent l="0" t="0" r="0" b="4445"/>
            <wp:docPr id="168" name="Immagin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322714" cy="2342630"/>
                    </a:xfrm>
                    <a:prstGeom prst="rect">
                      <a:avLst/>
                    </a:prstGeom>
                    <a:noFill/>
                  </pic:spPr>
                </pic:pic>
              </a:graphicData>
            </a:graphic>
          </wp:inline>
        </w:drawing>
      </w:r>
    </w:p>
    <w:p w:rsidR="00B33A72" w:rsidRPr="00A957EC" w:rsidRDefault="00B33A72" w:rsidP="00A957EC">
      <w:pPr>
        <w:spacing w:after="0"/>
        <w:jc w:val="both"/>
        <w:rPr>
          <w:rStyle w:val="st1"/>
          <w:rFonts w:cs="Arial"/>
        </w:rPr>
      </w:pPr>
      <w:r w:rsidRPr="00A957EC">
        <w:rPr>
          <w:rStyle w:val="st1"/>
          <w:rFonts w:cs="Arial"/>
        </w:rPr>
        <w:lastRenderedPageBreak/>
        <w:t>I Punti Nascita  dell’ATS sono 6, tutti pubblici e distribuiti in 3 ASST omogeneamente sul territorio. Ad  eccezione di uno, tutti superano la soglia dei 500 nati/anno (anno 2015), discrimine universalmente considerato come livello minimo necessario a garantire sufficiente qualità assistenziale, che dipende non solo dagli operatori sanitari e dalla tecnologia disponibile, ma in gran parte anche dal volume quotidiano dell’esperienz</w:t>
      </w:r>
      <w:r w:rsidR="00A957EC" w:rsidRPr="00A957EC">
        <w:rPr>
          <w:rStyle w:val="st1"/>
          <w:rFonts w:cs="Arial"/>
        </w:rPr>
        <w:t>a specifica realizzata in sede.</w:t>
      </w:r>
    </w:p>
    <w:p w:rsidR="00B33A72" w:rsidRPr="00A957EC" w:rsidRDefault="00B33A72" w:rsidP="00A957EC">
      <w:pPr>
        <w:spacing w:after="0"/>
        <w:jc w:val="both"/>
        <w:rPr>
          <w:rStyle w:val="st1"/>
          <w:rFonts w:cs="Arial"/>
        </w:rPr>
      </w:pPr>
      <w:r w:rsidRPr="00A957EC">
        <w:rPr>
          <w:rStyle w:val="st1"/>
          <w:rFonts w:cs="Arial"/>
        </w:rPr>
        <w:t>L’attività dei Consultori Familiari risente ragionevolmente della loro maggiore presenza sul territorio per quanto concerne l’assistenza alla gravidanza, che raggiunge il 43% a Mantova e solo 21% a Cremona. Per la certificazione dell’IVG, prestazione certamente meno complessa, si rivolge invece al consultorio il 44% delle donne a Cremona e il 35% a Mantova.</w:t>
      </w:r>
    </w:p>
    <w:p w:rsidR="00B33A72" w:rsidRPr="00A957EC" w:rsidRDefault="00B33A72" w:rsidP="00A957EC">
      <w:pPr>
        <w:spacing w:after="0"/>
        <w:jc w:val="both"/>
        <w:rPr>
          <w:rStyle w:val="st1"/>
          <w:rFonts w:cs="Arial"/>
        </w:rPr>
      </w:pPr>
      <w:r w:rsidRPr="00A957EC">
        <w:rPr>
          <w:rStyle w:val="st1"/>
          <w:rFonts w:cs="Arial"/>
        </w:rPr>
        <w:t>Per quanto riguarda la mobilità extra-regione per parto di gravide residenti in ATS, diversa è la proporzione tra Mantova e Cremona, anche in ragione dell’attrazione frontaliera dei Punti Nascita, come si mostra in figura.</w:t>
      </w:r>
    </w:p>
    <w:p w:rsidR="00B33A72" w:rsidRDefault="00B33A72" w:rsidP="00B33A72">
      <w:pPr>
        <w:rPr>
          <w:rStyle w:val="st1"/>
          <w:rFonts w:cs="Arial"/>
          <w:color w:val="000000" w:themeColor="text1"/>
        </w:rPr>
      </w:pPr>
    </w:p>
    <w:p w:rsidR="005A0025" w:rsidRDefault="005A0025" w:rsidP="00B33A72">
      <w:pPr>
        <w:rPr>
          <w:rStyle w:val="st1"/>
          <w:rFonts w:cs="Arial"/>
          <w:color w:val="000000" w:themeColor="text1"/>
        </w:rPr>
      </w:pPr>
    </w:p>
    <w:p w:rsidR="00B33A72" w:rsidRPr="00B33A72" w:rsidRDefault="00B33A72" w:rsidP="00B33A72">
      <w:pPr>
        <w:spacing w:after="0" w:line="240" w:lineRule="auto"/>
        <w:jc w:val="both"/>
        <w:rPr>
          <w:rFonts w:ascii="Calibri" w:eastAsia="MS Mincho" w:hAnsi="Calibri" w:cs="Arial"/>
          <w:color w:val="000000"/>
          <w:lang w:eastAsia="it-IT"/>
        </w:rPr>
      </w:pP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38112" behindDoc="0" locked="0" layoutInCell="1" allowOverlap="1" wp14:anchorId="30CF7344" wp14:editId="2185BE96">
                <wp:simplePos x="0" y="0"/>
                <wp:positionH relativeFrom="column">
                  <wp:posOffset>4480560</wp:posOffset>
                </wp:positionH>
                <wp:positionV relativeFrom="paragraph">
                  <wp:posOffset>615315</wp:posOffset>
                </wp:positionV>
                <wp:extent cx="1162050" cy="464185"/>
                <wp:effectExtent l="19050" t="19050" r="19050" b="12065"/>
                <wp:wrapNone/>
                <wp:docPr id="169" name="CasellaDiTesto 18"/>
                <wp:cNvGraphicFramePr/>
                <a:graphic xmlns:a="http://schemas.openxmlformats.org/drawingml/2006/main">
                  <a:graphicData uri="http://schemas.microsoft.com/office/word/2010/wordprocessingShape">
                    <wps:wsp>
                      <wps:cNvSpPr txBox="1"/>
                      <wps:spPr>
                        <a:xfrm>
                          <a:off x="0" y="0"/>
                          <a:ext cx="1162050" cy="464185"/>
                        </a:xfrm>
                        <a:prstGeom prst="rect">
                          <a:avLst/>
                        </a:prstGeom>
                        <a:solidFill>
                          <a:sysClr val="window" lastClr="FFFFFF"/>
                        </a:solidFill>
                        <a:ln w="38100">
                          <a:solidFill>
                            <a:sysClr val="windowText" lastClr="000000"/>
                          </a:solidFill>
                        </a:ln>
                      </wps:spPr>
                      <wps:txbx>
                        <w:txbxContent>
                          <w:p w:rsidR="00960A7C" w:rsidRDefault="00960A7C" w:rsidP="00B33A72">
                            <w:pPr>
                              <w:pStyle w:val="NormaleWeb"/>
                              <w:spacing w:before="0" w:beforeAutospacing="0" w:after="0" w:afterAutospacing="0"/>
                              <w:rPr>
                                <w:rFonts w:asciiTheme="minorHAnsi" w:hAnsi="Cambria" w:cstheme="minorBidi"/>
                                <w:b/>
                                <w:bCs/>
                                <w:color w:val="000000" w:themeColor="text1"/>
                                <w:kern w:val="24"/>
                                <w:sz w:val="20"/>
                                <w:szCs w:val="20"/>
                              </w:rPr>
                            </w:pPr>
                            <w:r w:rsidRPr="009878B1">
                              <w:rPr>
                                <w:rFonts w:asciiTheme="minorHAnsi" w:hAnsi="Cambria" w:cstheme="minorBidi"/>
                                <w:b/>
                                <w:bCs/>
                                <w:color w:val="000000" w:themeColor="text1"/>
                                <w:kern w:val="24"/>
                                <w:sz w:val="20"/>
                                <w:szCs w:val="20"/>
                              </w:rPr>
                              <w:t>17,3%</w:t>
                            </w:r>
                          </w:p>
                          <w:p w:rsidR="00960A7C" w:rsidRPr="009878B1" w:rsidRDefault="00960A7C" w:rsidP="00B33A72">
                            <w:pPr>
                              <w:pStyle w:val="NormaleWeb"/>
                              <w:spacing w:before="0" w:beforeAutospacing="0" w:after="0" w:afterAutospacing="0"/>
                              <w:rPr>
                                <w:sz w:val="20"/>
                                <w:szCs w:val="20"/>
                              </w:rPr>
                            </w:pPr>
                            <w:r>
                              <w:rPr>
                                <w:rFonts w:asciiTheme="minorHAnsi" w:hAnsi="Cambria" w:cstheme="minorBidi"/>
                                <w:b/>
                                <w:bCs/>
                                <w:color w:val="000000" w:themeColor="text1"/>
                                <w:kern w:val="24"/>
                                <w:sz w:val="20"/>
                                <w:szCs w:val="20"/>
                              </w:rPr>
                              <w:t>R. Lombardia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CasellaDiTesto 18" o:spid="_x0000_s1038" type="#_x0000_t202" style="position:absolute;left:0;text-align:left;margin-left:352.8pt;margin-top:48.45pt;width:91.5pt;height:36.5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" fillcolor="window" strokecolor="windowText" strokeweight="3pt">
                <v:textbox>
                  <w:txbxContent>
                    <w:p w:rsidR="00960A7C" w:rsidRDefault="00960A7C" w:rsidP="00B33A72">
                      <w:pPr>
                        <w:pStyle w:val="NormaleWeb"/>
                        <w:spacing w:before="0" w:beforeAutospacing="0" w:after="0" w:afterAutospacing="0"/>
                        <w:rPr>
                          <w:rFonts w:asciiTheme="minorHAnsi" w:hAnsi="Cambria" w:cstheme="minorBidi"/>
                          <w:b/>
                          <w:bCs/>
                          <w:color w:val="000000" w:themeColor="text1"/>
                          <w:kern w:val="24"/>
                          <w:sz w:val="20"/>
                          <w:szCs w:val="20"/>
                        </w:rPr>
                      </w:pPr>
                      <w:r w:rsidRPr="009878B1">
                        <w:rPr>
                          <w:rFonts w:asciiTheme="minorHAnsi" w:hAnsi="Cambria" w:cstheme="minorBidi"/>
                          <w:b/>
                          <w:bCs/>
                          <w:color w:val="000000" w:themeColor="text1"/>
                          <w:kern w:val="24"/>
                          <w:sz w:val="20"/>
                          <w:szCs w:val="20"/>
                        </w:rPr>
                        <w:t>17,3%</w:t>
                      </w:r>
                    </w:p>
                    <w:p w:rsidR="00960A7C" w:rsidRPr="009878B1" w:rsidRDefault="00960A7C" w:rsidP="00B33A72">
                      <w:pPr>
                        <w:pStyle w:val="NormaleWeb"/>
                        <w:spacing w:before="0" w:beforeAutospacing="0" w:after="0" w:afterAutospacing="0"/>
                        <w:rPr>
                          <w:sz w:val="20"/>
                          <w:szCs w:val="20"/>
                        </w:rPr>
                      </w:pPr>
                      <w:r>
                        <w:rPr>
                          <w:rFonts w:asciiTheme="minorHAnsi" w:hAnsi="Cambria" w:cstheme="minorBidi"/>
                          <w:b/>
                          <w:bCs/>
                          <w:color w:val="000000" w:themeColor="text1"/>
                          <w:kern w:val="24"/>
                          <w:sz w:val="20"/>
                          <w:szCs w:val="20"/>
                        </w:rPr>
                        <w:t>R. Lombardia</w:t>
                      </w:r>
                    </w:p>
                  </w:txbxContent>
                </v:textbox>
              </v:shape>
            </w:pict>
          </mc:Fallback>
        </mc:AlternateContent>
      </w: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35040" behindDoc="0" locked="0" layoutInCell="1" allowOverlap="1" wp14:anchorId="22ED53E4" wp14:editId="05B80BAD">
                <wp:simplePos x="0" y="0"/>
                <wp:positionH relativeFrom="column">
                  <wp:posOffset>4180840</wp:posOffset>
                </wp:positionH>
                <wp:positionV relativeFrom="paragraph">
                  <wp:posOffset>1880870</wp:posOffset>
                </wp:positionV>
                <wp:extent cx="758190" cy="368935"/>
                <wp:effectExtent l="19050" t="19050" r="28575" b="26670"/>
                <wp:wrapNone/>
                <wp:docPr id="681" name="CasellaDiTesto 14"/>
                <wp:cNvGraphicFramePr/>
                <a:graphic xmlns:a="http://schemas.openxmlformats.org/drawingml/2006/main">
                  <a:graphicData uri="http://schemas.microsoft.com/office/word/2010/wordprocessingShape">
                    <wps:wsp>
                      <wps:cNvSpPr txBox="1"/>
                      <wps:spPr>
                        <a:xfrm>
                          <a:off x="0" y="0"/>
                          <a:ext cx="758190" cy="368935"/>
                        </a:xfrm>
                        <a:prstGeom prst="rect">
                          <a:avLst/>
                        </a:prstGeom>
                        <a:solidFill>
                          <a:sysClr val="window" lastClr="FFFFFF"/>
                        </a:solidFill>
                        <a:ln w="38100">
                          <a:solidFill>
                            <a:sysClr val="windowText" lastClr="000000"/>
                          </a:solidFill>
                        </a:ln>
                      </wps:spPr>
                      <wps:txbx>
                        <w:txbxContent>
                          <w:p w:rsidR="00960A7C" w:rsidRPr="009878B1" w:rsidRDefault="00960A7C" w:rsidP="00B33A72">
                            <w:pPr>
                              <w:pStyle w:val="NormaleWeb"/>
                              <w:spacing w:before="0" w:beforeAutospacing="0" w:after="0" w:afterAutospacing="0"/>
                              <w:rPr>
                                <w:sz w:val="20"/>
                                <w:szCs w:val="20"/>
                              </w:rPr>
                            </w:pPr>
                            <w:r w:rsidRPr="009878B1">
                              <w:rPr>
                                <w:rFonts w:asciiTheme="minorHAnsi" w:hAnsi="Cambria" w:cstheme="minorBidi"/>
                                <w:b/>
                                <w:bCs/>
                                <w:color w:val="000000" w:themeColor="text1"/>
                                <w:kern w:val="24"/>
                                <w:sz w:val="20"/>
                                <w:szCs w:val="20"/>
                              </w:rPr>
                              <w:t>72,7%</w:t>
                            </w:r>
                          </w:p>
                        </w:txbxContent>
                      </wps:txbx>
                      <wps:bodyPr wrap="none" rtlCol="0">
                        <a:spAutoFit/>
                      </wps:bodyPr>
                    </wps:wsp>
                  </a:graphicData>
                </a:graphic>
              </wp:anchor>
            </w:drawing>
          </mc:Choice>
          <mc:Fallback>
            <w:pict>
              <v:shape id="CasellaDiTesto 14" o:spid="_x0000_s1039" type="#_x0000_t202" style="position:absolute;left:0;text-align:left;margin-left:329.2pt;margin-top:148.1pt;width:59.7pt;height:29.05pt;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" fillcolor="window" strokecolor="windowText" strokeweight="3pt">
                <v:textbox style="mso-fit-shape-to-text:t">
                  <w:txbxContent>
                    <w:p w:rsidR="00960A7C" w:rsidRPr="009878B1" w:rsidRDefault="00960A7C" w:rsidP="00B33A72">
                      <w:pPr>
                        <w:pStyle w:val="NormaleWeb"/>
                        <w:spacing w:before="0" w:beforeAutospacing="0" w:after="0" w:afterAutospacing="0"/>
                        <w:rPr>
                          <w:sz w:val="20"/>
                          <w:szCs w:val="20"/>
                        </w:rPr>
                      </w:pPr>
                      <w:r w:rsidRPr="009878B1">
                        <w:rPr>
                          <w:rFonts w:asciiTheme="minorHAnsi" w:hAnsi="Cambria" w:cstheme="minorBidi"/>
                          <w:b/>
                          <w:bCs/>
                          <w:color w:val="000000" w:themeColor="text1"/>
                          <w:kern w:val="24"/>
                          <w:sz w:val="20"/>
                          <w:szCs w:val="20"/>
                        </w:rPr>
                        <w:t>72,7%</w:t>
                      </w:r>
                    </w:p>
                  </w:txbxContent>
                </v:textbox>
              </v:shape>
            </w:pict>
          </mc:Fallback>
        </mc:AlternateContent>
      </w: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34016" behindDoc="0" locked="0" layoutInCell="1" allowOverlap="1" wp14:anchorId="00A4A805" wp14:editId="47CE75D2">
                <wp:simplePos x="0" y="0"/>
                <wp:positionH relativeFrom="column">
                  <wp:posOffset>878205</wp:posOffset>
                </wp:positionH>
                <wp:positionV relativeFrom="paragraph">
                  <wp:posOffset>1871345</wp:posOffset>
                </wp:positionV>
                <wp:extent cx="758190" cy="368935"/>
                <wp:effectExtent l="19050" t="19050" r="28575" b="26670"/>
                <wp:wrapNone/>
                <wp:docPr id="170" name="CasellaDiTesto 13"/>
                <wp:cNvGraphicFramePr/>
                <a:graphic xmlns:a="http://schemas.openxmlformats.org/drawingml/2006/main">
                  <a:graphicData uri="http://schemas.microsoft.com/office/word/2010/wordprocessingShape">
                    <wps:wsp>
                      <wps:cNvSpPr txBox="1"/>
                      <wps:spPr>
                        <a:xfrm>
                          <a:off x="0" y="0"/>
                          <a:ext cx="758190" cy="368935"/>
                        </a:xfrm>
                        <a:prstGeom prst="rect">
                          <a:avLst/>
                        </a:prstGeom>
                        <a:solidFill>
                          <a:sysClr val="window" lastClr="FFFFFF"/>
                        </a:solidFill>
                        <a:ln w="38100">
                          <a:solidFill>
                            <a:sysClr val="windowText" lastClr="000000"/>
                          </a:solidFill>
                        </a:ln>
                      </wps:spPr>
                      <wps:txbx>
                        <w:txbxContent>
                          <w:p w:rsidR="00960A7C" w:rsidRPr="009878B1" w:rsidRDefault="00960A7C" w:rsidP="00B33A72">
                            <w:pPr>
                              <w:pStyle w:val="NormaleWeb"/>
                              <w:spacing w:before="0" w:beforeAutospacing="0" w:after="0" w:afterAutospacing="0"/>
                              <w:rPr>
                                <w:sz w:val="20"/>
                                <w:szCs w:val="20"/>
                              </w:rPr>
                            </w:pPr>
                            <w:r w:rsidRPr="009878B1">
                              <w:rPr>
                                <w:rFonts w:asciiTheme="minorHAnsi" w:hAnsi="Cambria" w:cstheme="minorBidi"/>
                                <w:b/>
                                <w:bCs/>
                                <w:color w:val="000000" w:themeColor="text1"/>
                                <w:kern w:val="24"/>
                                <w:sz w:val="20"/>
                                <w:szCs w:val="20"/>
                              </w:rPr>
                              <w:t>75,2%</w:t>
                            </w:r>
                          </w:p>
                        </w:txbxContent>
                      </wps:txbx>
                      <wps:bodyPr wrap="none" rtlCol="0">
                        <a:spAutoFit/>
                      </wps:bodyPr>
                    </wps:wsp>
                  </a:graphicData>
                </a:graphic>
              </wp:anchor>
            </w:drawing>
          </mc:Choice>
          <mc:Fallback>
            <w:pict>
              <v:shape id="CasellaDiTesto 13" o:spid="_x0000_s1040" type="#_x0000_t202" style="position:absolute;left:0;text-align:left;margin-left:69.15pt;margin-top:147.35pt;width:59.7pt;height:29.05pt;z-index:2517340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" fillcolor="window" strokecolor="windowText" strokeweight="3pt">
                <v:textbox style="mso-fit-shape-to-text:t">
                  <w:txbxContent>
                    <w:p w:rsidR="00960A7C" w:rsidRPr="009878B1" w:rsidRDefault="00960A7C" w:rsidP="00B33A72">
                      <w:pPr>
                        <w:pStyle w:val="NormaleWeb"/>
                        <w:spacing w:before="0" w:beforeAutospacing="0" w:after="0" w:afterAutospacing="0"/>
                        <w:rPr>
                          <w:sz w:val="20"/>
                          <w:szCs w:val="20"/>
                        </w:rPr>
                      </w:pPr>
                      <w:r w:rsidRPr="009878B1">
                        <w:rPr>
                          <w:rFonts w:asciiTheme="minorHAnsi" w:hAnsi="Cambria" w:cstheme="minorBidi"/>
                          <w:b/>
                          <w:bCs/>
                          <w:color w:val="000000" w:themeColor="text1"/>
                          <w:kern w:val="24"/>
                          <w:sz w:val="20"/>
                          <w:szCs w:val="20"/>
                        </w:rPr>
                        <w:t>75,2%</w:t>
                      </w:r>
                    </w:p>
                  </w:txbxContent>
                </v:textbox>
              </v:shape>
            </w:pict>
          </mc:Fallback>
        </mc:AlternateContent>
      </w: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40160" behindDoc="0" locked="0" layoutInCell="1" allowOverlap="1" wp14:anchorId="568AE75C" wp14:editId="29DA9335">
                <wp:simplePos x="0" y="0"/>
                <wp:positionH relativeFrom="column">
                  <wp:posOffset>1193800</wp:posOffset>
                </wp:positionH>
                <wp:positionV relativeFrom="paragraph">
                  <wp:posOffset>3204210</wp:posOffset>
                </wp:positionV>
                <wp:extent cx="641350" cy="368935"/>
                <wp:effectExtent l="19050" t="19050" r="15875" b="10795"/>
                <wp:wrapNone/>
                <wp:docPr id="171" name="CasellaDiTesto 20"/>
                <wp:cNvGraphicFramePr/>
                <a:graphic xmlns:a="http://schemas.openxmlformats.org/drawingml/2006/main">
                  <a:graphicData uri="http://schemas.microsoft.com/office/word/2010/wordprocessingShape">
                    <wps:wsp>
                      <wps:cNvSpPr txBox="1"/>
                      <wps:spPr>
                        <a:xfrm>
                          <a:off x="0" y="0"/>
                          <a:ext cx="641350" cy="368935"/>
                        </a:xfrm>
                        <a:prstGeom prst="rect">
                          <a:avLst/>
                        </a:prstGeom>
                        <a:solidFill>
                          <a:sysClr val="window" lastClr="FFFFFF"/>
                        </a:solidFill>
                        <a:ln w="38100">
                          <a:solidFill>
                            <a:sysClr val="windowText" lastClr="000000"/>
                          </a:solidFill>
                        </a:ln>
                      </wps:spPr>
                      <wps:txbx>
                        <w:txbxContent>
                          <w:p w:rsidR="00960A7C" w:rsidRDefault="00960A7C" w:rsidP="00B33A72">
                            <w:pPr>
                              <w:pStyle w:val="NormaleWeb"/>
                              <w:spacing w:before="0" w:beforeAutospacing="0" w:after="0" w:afterAutospacing="0"/>
                              <w:rPr>
                                <w:rFonts w:asciiTheme="minorHAnsi" w:hAnsi="Cambria" w:cstheme="minorBidi"/>
                                <w:b/>
                                <w:bCs/>
                                <w:color w:val="000000" w:themeColor="text1"/>
                                <w:kern w:val="24"/>
                                <w:sz w:val="20"/>
                                <w:szCs w:val="20"/>
                              </w:rPr>
                            </w:pPr>
                            <w:r w:rsidRPr="009878B1">
                              <w:rPr>
                                <w:rFonts w:asciiTheme="minorHAnsi" w:hAnsi="Cambria" w:cstheme="minorBidi"/>
                                <w:b/>
                                <w:bCs/>
                                <w:color w:val="000000" w:themeColor="text1"/>
                                <w:kern w:val="24"/>
                                <w:sz w:val="20"/>
                                <w:szCs w:val="20"/>
                              </w:rPr>
                              <w:t>1,2%</w:t>
                            </w:r>
                          </w:p>
                          <w:p w:rsidR="00960A7C" w:rsidRPr="009878B1" w:rsidRDefault="00960A7C" w:rsidP="00B33A72">
                            <w:pPr>
                              <w:pStyle w:val="NormaleWeb"/>
                              <w:spacing w:before="0" w:beforeAutospacing="0" w:after="0" w:afterAutospacing="0"/>
                              <w:rPr>
                                <w:sz w:val="20"/>
                                <w:szCs w:val="20"/>
                              </w:rPr>
                            </w:pPr>
                            <w:r>
                              <w:rPr>
                                <w:rFonts w:asciiTheme="minorHAnsi" w:hAnsi="Cambria" w:cstheme="minorBidi"/>
                                <w:b/>
                                <w:bCs/>
                                <w:color w:val="000000" w:themeColor="text1"/>
                                <w:kern w:val="24"/>
                                <w:sz w:val="20"/>
                                <w:szCs w:val="20"/>
                              </w:rPr>
                              <w:t>Extra-Regione</w:t>
                            </w:r>
                          </w:p>
                        </w:txbxContent>
                      </wps:txbx>
                      <wps:bodyPr wrap="none" rtlCol="0">
                        <a:spAutoFit/>
                      </wps:bodyPr>
                    </wps:wsp>
                  </a:graphicData>
                </a:graphic>
              </wp:anchor>
            </w:drawing>
          </mc:Choice>
          <mc:Fallback>
            <w:pict>
              <v:shape id="CasellaDiTesto 20" o:spid="_x0000_s1041" type="#_x0000_t202" style="position:absolute;left:0;text-align:left;margin-left:94pt;margin-top:252.3pt;width:50.5pt;height:29.05pt;z-index:251740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" fillcolor="window" strokecolor="windowText" strokeweight="3pt">
                <v:textbox style="mso-fit-shape-to-text:t">
                  <w:txbxContent>
                    <w:p w:rsidR="00960A7C" w:rsidRDefault="00960A7C" w:rsidP="00B33A72">
                      <w:pPr>
                        <w:pStyle w:val="NormaleWeb"/>
                        <w:spacing w:before="0" w:beforeAutospacing="0" w:after="0" w:afterAutospacing="0"/>
                        <w:rPr>
                          <w:rFonts w:asciiTheme="minorHAnsi" w:hAnsi="Cambria" w:cstheme="minorBidi"/>
                          <w:b/>
                          <w:bCs/>
                          <w:color w:val="000000" w:themeColor="text1"/>
                          <w:kern w:val="24"/>
                          <w:sz w:val="20"/>
                          <w:szCs w:val="20"/>
                        </w:rPr>
                      </w:pPr>
                      <w:r w:rsidRPr="009878B1">
                        <w:rPr>
                          <w:rFonts w:asciiTheme="minorHAnsi" w:hAnsi="Cambria" w:cstheme="minorBidi"/>
                          <w:b/>
                          <w:bCs/>
                          <w:color w:val="000000" w:themeColor="text1"/>
                          <w:kern w:val="24"/>
                          <w:sz w:val="20"/>
                          <w:szCs w:val="20"/>
                        </w:rPr>
                        <w:t>1,2%</w:t>
                      </w:r>
                    </w:p>
                    <w:p w:rsidR="00960A7C" w:rsidRPr="009878B1" w:rsidRDefault="00960A7C" w:rsidP="00B33A72">
                      <w:pPr>
                        <w:pStyle w:val="NormaleWeb"/>
                        <w:spacing w:before="0" w:beforeAutospacing="0" w:after="0" w:afterAutospacing="0"/>
                        <w:rPr>
                          <w:sz w:val="20"/>
                          <w:szCs w:val="20"/>
                        </w:rPr>
                      </w:pPr>
                      <w:r>
                        <w:rPr>
                          <w:rFonts w:asciiTheme="minorHAnsi" w:hAnsi="Cambria" w:cstheme="minorBidi"/>
                          <w:b/>
                          <w:bCs/>
                          <w:color w:val="000000" w:themeColor="text1"/>
                          <w:kern w:val="24"/>
                          <w:sz w:val="20"/>
                          <w:szCs w:val="20"/>
                        </w:rPr>
                        <w:t>Extra-Regione</w:t>
                      </w:r>
                    </w:p>
                  </w:txbxContent>
                </v:textbox>
              </v:shape>
            </w:pict>
          </mc:Fallback>
        </mc:AlternateContent>
      </w: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43232" behindDoc="0" locked="0" layoutInCell="1" allowOverlap="1" wp14:anchorId="414E297A" wp14:editId="6E9A0343">
                <wp:simplePos x="0" y="0"/>
                <wp:positionH relativeFrom="column">
                  <wp:posOffset>4909185</wp:posOffset>
                </wp:positionH>
                <wp:positionV relativeFrom="paragraph">
                  <wp:posOffset>2844165</wp:posOffset>
                </wp:positionV>
                <wp:extent cx="163195" cy="323850"/>
                <wp:effectExtent l="19050" t="0" r="27305" b="38100"/>
                <wp:wrapNone/>
                <wp:docPr id="683" name="Freccia in giù 19"/>
                <wp:cNvGraphicFramePr/>
                <a:graphic xmlns:a="http://schemas.openxmlformats.org/drawingml/2006/main">
                  <a:graphicData uri="http://schemas.microsoft.com/office/word/2010/wordprocessingShape">
                    <wps:wsp>
                      <wps:cNvSpPr/>
                      <wps:spPr>
                        <a:xfrm>
                          <a:off x="0" y="0"/>
                          <a:ext cx="163195" cy="323850"/>
                        </a:xfrm>
                        <a:prstGeom prst="downArrow">
                          <a:avLst/>
                        </a:prstGeom>
                        <a:solidFill>
                          <a:srgbClr val="4F81BD"/>
                        </a:solidFill>
                        <a:ln w="25400" cap="flat" cmpd="sng" algn="ctr">
                          <a:solidFill>
                            <a:srgbClr val="4F81BD">
                              <a:shade val="50000"/>
                            </a:srgbClr>
                          </a:solidFill>
                          <a:prstDash val="solid"/>
                        </a:ln>
                        <a:effectLst/>
                      </wps:spPr>
                      <wps:bodyPr rtlCol="0" anchor="ctr"/>
                    </wps:wsp>
                  </a:graphicData>
                </a:graphic>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reccia in giù 19" o:spid="_x0000_s1026" type="#_x0000_t67" style="position:absolute;margin-left:386.55pt;margin-top:223.95pt;width:12.85pt;height:25.5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" adj="16158" fillcolor="#4f81bd" strokecolor="#385d8a" strokeweight="2pt"/>
            </w:pict>
          </mc:Fallback>
        </mc:AlternateContent>
      </w: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41184" behindDoc="0" locked="0" layoutInCell="1" allowOverlap="1" wp14:anchorId="257C084B" wp14:editId="2256EEC1">
                <wp:simplePos x="0" y="0"/>
                <wp:positionH relativeFrom="column">
                  <wp:posOffset>4476750</wp:posOffset>
                </wp:positionH>
                <wp:positionV relativeFrom="paragraph">
                  <wp:posOffset>3183890</wp:posOffset>
                </wp:positionV>
                <wp:extent cx="586740" cy="368935"/>
                <wp:effectExtent l="19050" t="19050" r="22225" b="10795"/>
                <wp:wrapNone/>
                <wp:docPr id="172" name="CasellaDiTesto 26"/>
                <wp:cNvGraphicFramePr/>
                <a:graphic xmlns:a="http://schemas.openxmlformats.org/drawingml/2006/main">
                  <a:graphicData uri="http://schemas.microsoft.com/office/word/2010/wordprocessingShape">
                    <wps:wsp>
                      <wps:cNvSpPr txBox="1"/>
                      <wps:spPr>
                        <a:xfrm>
                          <a:off x="0" y="0"/>
                          <a:ext cx="586740" cy="368935"/>
                        </a:xfrm>
                        <a:prstGeom prst="rect">
                          <a:avLst/>
                        </a:prstGeom>
                        <a:solidFill>
                          <a:sysClr val="window" lastClr="FFFFFF"/>
                        </a:solidFill>
                        <a:ln w="38100">
                          <a:solidFill>
                            <a:sysClr val="windowText" lastClr="000000"/>
                          </a:solidFill>
                        </a:ln>
                      </wps:spPr>
                      <wps:txbx>
                        <w:txbxContent>
                          <w:p w:rsidR="00960A7C" w:rsidRDefault="00960A7C" w:rsidP="00B33A72">
                            <w:pPr>
                              <w:pStyle w:val="NormaleWeb"/>
                              <w:spacing w:before="0" w:beforeAutospacing="0" w:after="0" w:afterAutospacing="0"/>
                              <w:rPr>
                                <w:rFonts w:asciiTheme="minorHAnsi" w:hAnsi="Cambria" w:cstheme="minorBidi"/>
                                <w:b/>
                                <w:bCs/>
                                <w:color w:val="000000" w:themeColor="text1"/>
                                <w:kern w:val="24"/>
                                <w:sz w:val="20"/>
                                <w:szCs w:val="20"/>
                              </w:rPr>
                            </w:pPr>
                            <w:r w:rsidRPr="009878B1">
                              <w:rPr>
                                <w:rFonts w:asciiTheme="minorHAnsi" w:hAnsi="Cambria" w:cstheme="minorBidi"/>
                                <w:b/>
                                <w:bCs/>
                                <w:color w:val="000000" w:themeColor="text1"/>
                                <w:kern w:val="24"/>
                                <w:sz w:val="20"/>
                                <w:szCs w:val="20"/>
                              </w:rPr>
                              <w:t>10%</w:t>
                            </w:r>
                          </w:p>
                          <w:p w:rsidR="00960A7C" w:rsidRPr="009878B1" w:rsidRDefault="00960A7C" w:rsidP="00B33A72">
                            <w:pPr>
                              <w:pStyle w:val="NormaleWeb"/>
                              <w:spacing w:before="0" w:beforeAutospacing="0" w:after="0" w:afterAutospacing="0"/>
                              <w:rPr>
                                <w:sz w:val="20"/>
                                <w:szCs w:val="20"/>
                              </w:rPr>
                            </w:pPr>
                            <w:r>
                              <w:rPr>
                                <w:rFonts w:asciiTheme="minorHAnsi" w:hAnsi="Cambria" w:cstheme="minorBidi"/>
                                <w:b/>
                                <w:bCs/>
                                <w:color w:val="000000" w:themeColor="text1"/>
                                <w:kern w:val="24"/>
                                <w:sz w:val="20"/>
                                <w:szCs w:val="20"/>
                              </w:rPr>
                              <w:t>Extra-regione</w:t>
                            </w:r>
                          </w:p>
                        </w:txbxContent>
                      </wps:txbx>
                      <wps:bodyPr wrap="none" rtlCol="0">
                        <a:spAutoFit/>
                      </wps:bodyPr>
                    </wps:wsp>
                  </a:graphicData>
                </a:graphic>
              </wp:anchor>
            </w:drawing>
          </mc:Choice>
          <mc:Fallback>
            <w:pict>
              <v:shape id="CasellaDiTesto 26" o:spid="_x0000_s1042" type="#_x0000_t202" style="position:absolute;left:0;text-align:left;margin-left:352.5pt;margin-top:250.7pt;width:46.2pt;height:29.0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" fillcolor="window" strokecolor="windowText" strokeweight="3pt">
                <v:textbox style="mso-fit-shape-to-text:t">
                  <w:txbxContent>
                    <w:p w:rsidR="00960A7C" w:rsidRDefault="00960A7C" w:rsidP="00B33A72">
                      <w:pPr>
                        <w:pStyle w:val="NormaleWeb"/>
                        <w:spacing w:before="0" w:beforeAutospacing="0" w:after="0" w:afterAutospacing="0"/>
                        <w:rPr>
                          <w:rFonts w:asciiTheme="minorHAnsi" w:hAnsi="Cambria" w:cstheme="minorBidi"/>
                          <w:b/>
                          <w:bCs/>
                          <w:color w:val="000000" w:themeColor="text1"/>
                          <w:kern w:val="24"/>
                          <w:sz w:val="20"/>
                          <w:szCs w:val="20"/>
                        </w:rPr>
                      </w:pPr>
                      <w:r w:rsidRPr="009878B1">
                        <w:rPr>
                          <w:rFonts w:asciiTheme="minorHAnsi" w:hAnsi="Cambria" w:cstheme="minorBidi"/>
                          <w:b/>
                          <w:bCs/>
                          <w:color w:val="000000" w:themeColor="text1"/>
                          <w:kern w:val="24"/>
                          <w:sz w:val="20"/>
                          <w:szCs w:val="20"/>
                        </w:rPr>
                        <w:t>10%</w:t>
                      </w:r>
                    </w:p>
                    <w:p w:rsidR="00960A7C" w:rsidRPr="009878B1" w:rsidRDefault="00960A7C" w:rsidP="00B33A72">
                      <w:pPr>
                        <w:pStyle w:val="NormaleWeb"/>
                        <w:spacing w:before="0" w:beforeAutospacing="0" w:after="0" w:afterAutospacing="0"/>
                        <w:rPr>
                          <w:sz w:val="20"/>
                          <w:szCs w:val="20"/>
                        </w:rPr>
                      </w:pPr>
                      <w:r>
                        <w:rPr>
                          <w:rFonts w:asciiTheme="minorHAnsi" w:hAnsi="Cambria" w:cstheme="minorBidi"/>
                          <w:b/>
                          <w:bCs/>
                          <w:color w:val="000000" w:themeColor="text1"/>
                          <w:kern w:val="24"/>
                          <w:sz w:val="20"/>
                          <w:szCs w:val="20"/>
                        </w:rPr>
                        <w:t>Extra-regione</w:t>
                      </w:r>
                    </w:p>
                  </w:txbxContent>
                </v:textbox>
              </v:shape>
            </w:pict>
          </mc:Fallback>
        </mc:AlternateContent>
      </w: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39136" behindDoc="0" locked="0" layoutInCell="1" allowOverlap="1" wp14:anchorId="7C121CDB" wp14:editId="5DE9E6FB">
                <wp:simplePos x="0" y="0"/>
                <wp:positionH relativeFrom="column">
                  <wp:posOffset>1572895</wp:posOffset>
                </wp:positionH>
                <wp:positionV relativeFrom="paragraph">
                  <wp:posOffset>2748915</wp:posOffset>
                </wp:positionV>
                <wp:extent cx="163195" cy="371475"/>
                <wp:effectExtent l="19050" t="0" r="46355" b="47625"/>
                <wp:wrapNone/>
                <wp:docPr id="173" name="Freccia in giù 19"/>
                <wp:cNvGraphicFramePr/>
                <a:graphic xmlns:a="http://schemas.openxmlformats.org/drawingml/2006/main">
                  <a:graphicData uri="http://schemas.microsoft.com/office/word/2010/wordprocessingShape">
                    <wps:wsp>
                      <wps:cNvSpPr/>
                      <wps:spPr>
                        <a:xfrm>
                          <a:off x="0" y="0"/>
                          <a:ext cx="163195" cy="371475"/>
                        </a:xfrm>
                        <a:prstGeom prst="downArrow">
                          <a:avLst/>
                        </a:prstGeom>
                        <a:solidFill>
                          <a:srgbClr val="4F81BD"/>
                        </a:solidFill>
                        <a:ln w="25400" cap="flat" cmpd="sng" algn="ctr">
                          <a:solidFill>
                            <a:srgbClr val="4F81BD">
                              <a:shade val="50000"/>
                            </a:srgbClr>
                          </a:solidFill>
                          <a:prstDash val="solid"/>
                        </a:ln>
                        <a:effectLst/>
                      </wps:spPr>
                      <wps:bodyPr rtlCol="0" anchor="ctr"/>
                    </wps:wsp>
                  </a:graphicData>
                </a:graphic>
                <wp14:sizeRelV relativeFrom="margin">
                  <wp14:pctHeight>0</wp14:pctHeight>
                </wp14:sizeRelV>
              </wp:anchor>
            </w:drawing>
          </mc:Choice>
          <mc:Fallback>
            <w:pict>
              <v:shape id="Freccia in giù 19" o:spid="_x0000_s1026" type="#_x0000_t67" style="position:absolute;margin-left:123.85pt;margin-top:216.45pt;width:12.85pt;height:29.25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" adj="16855" fillcolor="#4f81bd" strokecolor="#385d8a" strokeweight="2pt"/>
            </w:pict>
          </mc:Fallback>
        </mc:AlternateContent>
      </w: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36064" behindDoc="0" locked="0" layoutInCell="1" allowOverlap="1" wp14:anchorId="714F1AE6" wp14:editId="02C7E318">
                <wp:simplePos x="0" y="0"/>
                <wp:positionH relativeFrom="column">
                  <wp:posOffset>1108075</wp:posOffset>
                </wp:positionH>
                <wp:positionV relativeFrom="paragraph">
                  <wp:posOffset>647700</wp:posOffset>
                </wp:positionV>
                <wp:extent cx="758190" cy="368935"/>
                <wp:effectExtent l="19050" t="19050" r="25400" b="10795"/>
                <wp:wrapNone/>
                <wp:docPr id="174" name="CasellaDiTesto 16"/>
                <wp:cNvGraphicFramePr/>
                <a:graphic xmlns:a="http://schemas.openxmlformats.org/drawingml/2006/main">
                  <a:graphicData uri="http://schemas.microsoft.com/office/word/2010/wordprocessingShape">
                    <wps:wsp>
                      <wps:cNvSpPr txBox="1"/>
                      <wps:spPr>
                        <a:xfrm>
                          <a:off x="0" y="0"/>
                          <a:ext cx="758190" cy="368935"/>
                        </a:xfrm>
                        <a:prstGeom prst="rect">
                          <a:avLst/>
                        </a:prstGeom>
                        <a:solidFill>
                          <a:sysClr val="window" lastClr="FFFFFF"/>
                        </a:solidFill>
                        <a:ln w="38100">
                          <a:solidFill>
                            <a:sysClr val="windowText" lastClr="000000"/>
                          </a:solidFill>
                        </a:ln>
                      </wps:spPr>
                      <wps:txbx>
                        <w:txbxContent>
                          <w:p w:rsidR="00960A7C" w:rsidRDefault="00960A7C" w:rsidP="00B33A72">
                            <w:pPr>
                              <w:pStyle w:val="NormaleWeb"/>
                              <w:spacing w:before="0" w:beforeAutospacing="0" w:after="0" w:afterAutospacing="0"/>
                              <w:rPr>
                                <w:rFonts w:asciiTheme="minorHAnsi" w:hAnsi="Cambria" w:cstheme="minorBidi"/>
                                <w:b/>
                                <w:bCs/>
                                <w:color w:val="000000" w:themeColor="text1"/>
                                <w:kern w:val="24"/>
                                <w:sz w:val="20"/>
                                <w:szCs w:val="20"/>
                              </w:rPr>
                            </w:pPr>
                            <w:r w:rsidRPr="009878B1">
                              <w:rPr>
                                <w:rFonts w:asciiTheme="minorHAnsi" w:hAnsi="Cambria" w:cstheme="minorBidi"/>
                                <w:b/>
                                <w:bCs/>
                                <w:color w:val="000000" w:themeColor="text1"/>
                                <w:kern w:val="24"/>
                                <w:sz w:val="20"/>
                                <w:szCs w:val="20"/>
                              </w:rPr>
                              <w:t>23,5%</w:t>
                            </w:r>
                          </w:p>
                          <w:p w:rsidR="00960A7C" w:rsidRPr="009878B1" w:rsidRDefault="00960A7C" w:rsidP="00B33A72">
                            <w:pPr>
                              <w:pStyle w:val="NormaleWeb"/>
                              <w:spacing w:before="0" w:beforeAutospacing="0" w:after="0" w:afterAutospacing="0"/>
                              <w:rPr>
                                <w:sz w:val="20"/>
                                <w:szCs w:val="20"/>
                              </w:rPr>
                            </w:pPr>
                            <w:r>
                              <w:rPr>
                                <w:rFonts w:asciiTheme="minorHAnsi" w:hAnsi="Cambria" w:cstheme="minorBidi"/>
                                <w:b/>
                                <w:bCs/>
                                <w:color w:val="000000" w:themeColor="text1"/>
                                <w:kern w:val="24"/>
                                <w:sz w:val="20"/>
                                <w:szCs w:val="20"/>
                              </w:rPr>
                              <w:t>R. Lombardia</w:t>
                            </w:r>
                          </w:p>
                        </w:txbxContent>
                      </wps:txbx>
                      <wps:bodyPr wrap="none" rtlCol="0">
                        <a:spAutoFit/>
                      </wps:bodyPr>
                    </wps:wsp>
                  </a:graphicData>
                </a:graphic>
              </wp:anchor>
            </w:drawing>
          </mc:Choice>
          <mc:Fallback>
            <w:pict>
              <v:shape id="CasellaDiTesto 16" o:spid="_x0000_s1043" type="#_x0000_t202" style="position:absolute;left:0;text-align:left;margin-left:87.25pt;margin-top:51pt;width:59.7pt;height:29.05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" fillcolor="window" strokecolor="windowText" strokeweight="3pt">
                <v:textbox style="mso-fit-shape-to-text:t">
                  <w:txbxContent>
                    <w:p w:rsidR="00960A7C" w:rsidRDefault="00960A7C" w:rsidP="00B33A72">
                      <w:pPr>
                        <w:pStyle w:val="NormaleWeb"/>
                        <w:spacing w:before="0" w:beforeAutospacing="0" w:after="0" w:afterAutospacing="0"/>
                        <w:rPr>
                          <w:rFonts w:asciiTheme="minorHAnsi" w:hAnsi="Cambria" w:cstheme="minorBidi"/>
                          <w:b/>
                          <w:bCs/>
                          <w:color w:val="000000" w:themeColor="text1"/>
                          <w:kern w:val="24"/>
                          <w:sz w:val="20"/>
                          <w:szCs w:val="20"/>
                        </w:rPr>
                      </w:pPr>
                      <w:r w:rsidRPr="009878B1">
                        <w:rPr>
                          <w:rFonts w:asciiTheme="minorHAnsi" w:hAnsi="Cambria" w:cstheme="minorBidi"/>
                          <w:b/>
                          <w:bCs/>
                          <w:color w:val="000000" w:themeColor="text1"/>
                          <w:kern w:val="24"/>
                          <w:sz w:val="20"/>
                          <w:szCs w:val="20"/>
                        </w:rPr>
                        <w:t>23,5%</w:t>
                      </w:r>
                    </w:p>
                    <w:p w:rsidR="00960A7C" w:rsidRPr="009878B1" w:rsidRDefault="00960A7C" w:rsidP="00B33A72">
                      <w:pPr>
                        <w:pStyle w:val="NormaleWeb"/>
                        <w:spacing w:before="0" w:beforeAutospacing="0" w:after="0" w:afterAutospacing="0"/>
                        <w:rPr>
                          <w:sz w:val="20"/>
                          <w:szCs w:val="20"/>
                        </w:rPr>
                      </w:pPr>
                      <w:r>
                        <w:rPr>
                          <w:rFonts w:asciiTheme="minorHAnsi" w:hAnsi="Cambria" w:cstheme="minorBidi"/>
                          <w:b/>
                          <w:bCs/>
                          <w:color w:val="000000" w:themeColor="text1"/>
                          <w:kern w:val="24"/>
                          <w:sz w:val="20"/>
                          <w:szCs w:val="20"/>
                        </w:rPr>
                        <w:t>R. Lombardia</w:t>
                      </w:r>
                    </w:p>
                  </w:txbxContent>
                </v:textbox>
              </v:shape>
            </w:pict>
          </mc:Fallback>
        </mc:AlternateContent>
      </w: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42208" behindDoc="0" locked="0" layoutInCell="1" allowOverlap="1" wp14:anchorId="495FB4A8" wp14:editId="77A27FED">
                <wp:simplePos x="0" y="0"/>
                <wp:positionH relativeFrom="column">
                  <wp:posOffset>1423035</wp:posOffset>
                </wp:positionH>
                <wp:positionV relativeFrom="paragraph">
                  <wp:posOffset>1139190</wp:posOffset>
                </wp:positionV>
                <wp:extent cx="179705" cy="361950"/>
                <wp:effectExtent l="19050" t="19050" r="29845" b="19050"/>
                <wp:wrapNone/>
                <wp:docPr id="682" name="Freccia in su 17"/>
                <wp:cNvGraphicFramePr/>
                <a:graphic xmlns:a="http://schemas.openxmlformats.org/drawingml/2006/main">
                  <a:graphicData uri="http://schemas.microsoft.com/office/word/2010/wordprocessingShape">
                    <wps:wsp>
                      <wps:cNvSpPr/>
                      <wps:spPr>
                        <a:xfrm>
                          <a:off x="0" y="0"/>
                          <a:ext cx="179705" cy="361950"/>
                        </a:xfrm>
                        <a:prstGeom prst="upArrow">
                          <a:avLst/>
                        </a:prstGeom>
                        <a:solidFill>
                          <a:srgbClr val="4F81BD"/>
                        </a:solidFill>
                        <a:ln w="25400" cap="flat" cmpd="sng" algn="ctr">
                          <a:solidFill>
                            <a:srgbClr val="4F81BD">
                              <a:shade val="50000"/>
                            </a:srgbClr>
                          </a:solidFill>
                          <a:prstDash val="solid"/>
                        </a:ln>
                        <a:effectLst/>
                      </wps:spPr>
                      <wps:bodyPr rtlCol="0" anchor="ctr"/>
                    </wps:wsp>
                  </a:graphicData>
                </a:graphic>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reccia in su 17" o:spid="_x0000_s1026" type="#_x0000_t68" style="position:absolute;margin-left:112.05pt;margin-top:89.7pt;width:14.15pt;height:28.5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" adj="5362" fillcolor="#4f81bd" strokecolor="#385d8a" strokeweight="2pt"/>
            </w:pict>
          </mc:Fallback>
        </mc:AlternateContent>
      </w:r>
      <w:r w:rsidRPr="00B33A72">
        <w:rPr>
          <w:rFonts w:ascii="Calibri" w:eastAsia="MS Mincho" w:hAnsi="Calibri" w:cs="Times New Roman"/>
          <w:noProof/>
          <w:sz w:val="24"/>
          <w:szCs w:val="24"/>
          <w:lang w:eastAsia="it-IT"/>
        </w:rPr>
        <mc:AlternateContent>
          <mc:Choice Requires="wps">
            <w:drawing>
              <wp:anchor distT="0" distB="0" distL="114300" distR="114300" simplePos="0" relativeHeight="251737088" behindDoc="0" locked="0" layoutInCell="1" allowOverlap="1" wp14:anchorId="30129159" wp14:editId="535ECC89">
                <wp:simplePos x="0" y="0"/>
                <wp:positionH relativeFrom="column">
                  <wp:posOffset>4794885</wp:posOffset>
                </wp:positionH>
                <wp:positionV relativeFrom="paragraph">
                  <wp:posOffset>1129665</wp:posOffset>
                </wp:positionV>
                <wp:extent cx="179705" cy="361950"/>
                <wp:effectExtent l="19050" t="19050" r="29845" b="19050"/>
                <wp:wrapNone/>
                <wp:docPr id="175" name="Freccia in su 17"/>
                <wp:cNvGraphicFramePr/>
                <a:graphic xmlns:a="http://schemas.openxmlformats.org/drawingml/2006/main">
                  <a:graphicData uri="http://schemas.microsoft.com/office/word/2010/wordprocessingShape">
                    <wps:wsp>
                      <wps:cNvSpPr/>
                      <wps:spPr>
                        <a:xfrm>
                          <a:off x="0" y="0"/>
                          <a:ext cx="179705" cy="361950"/>
                        </a:xfrm>
                        <a:prstGeom prst="upArrow">
                          <a:avLst/>
                        </a:prstGeom>
                        <a:solidFill>
                          <a:srgbClr val="4F81BD"/>
                        </a:solidFill>
                        <a:ln w="25400" cap="flat" cmpd="sng" algn="ctr">
                          <a:solidFill>
                            <a:srgbClr val="4F81BD">
                              <a:shade val="50000"/>
                            </a:srgbClr>
                          </a:solidFill>
                          <a:prstDash val="solid"/>
                        </a:ln>
                        <a:effectLst/>
                      </wps:spPr>
                      <wps:bodyPr rtlCol="0" anchor="ctr"/>
                    </wps:wsp>
                  </a:graphicData>
                </a:graphic>
                <wp14:sizeRelV relativeFrom="margin">
                  <wp14:pctHeight>0</wp14:pctHeight>
                </wp14:sizeRelV>
              </wp:anchor>
            </w:drawing>
          </mc:Choice>
          <mc:Fallback>
            <w:pict>
              <v:shape id="Freccia in su 17" o:spid="_x0000_s1026" type="#_x0000_t68" style="position:absolute;margin-left:377.55pt;margin-top:88.95pt;width:14.15pt;height:28.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" adj="5362" fillcolor="#4f81bd" strokecolor="#385d8a" strokeweight="2pt"/>
            </w:pict>
          </mc:Fallback>
        </mc:AlternateContent>
      </w:r>
      <w:r w:rsidRPr="00B33A72">
        <w:rPr>
          <w:rFonts w:ascii="Calibri" w:eastAsia="MS Mincho" w:hAnsi="Calibri" w:cs="Times New Roman"/>
          <w:noProof/>
          <w:sz w:val="24"/>
          <w:szCs w:val="24"/>
          <w:lang w:eastAsia="it-IT"/>
        </w:rPr>
        <w:drawing>
          <wp:anchor distT="0" distB="0" distL="114300" distR="114300" simplePos="0" relativeHeight="251731968" behindDoc="0" locked="0" layoutInCell="1" allowOverlap="1" wp14:anchorId="76D98F5D" wp14:editId="135DDCB2">
            <wp:simplePos x="0" y="0"/>
            <wp:positionH relativeFrom="column">
              <wp:posOffset>-310515</wp:posOffset>
            </wp:positionH>
            <wp:positionV relativeFrom="paragraph">
              <wp:posOffset>872490</wp:posOffset>
            </wp:positionV>
            <wp:extent cx="3133725" cy="2246630"/>
            <wp:effectExtent l="0" t="0" r="9525" b="1270"/>
            <wp:wrapNone/>
            <wp:docPr id="176" name="Picture 6" descr="Risultati immagini per cartina provincia di crem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6" descr="Risultati immagini per cartina provincia di cremona"/>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33725" cy="2246630"/>
                    </a:xfrm>
                    <a:prstGeom prst="rect">
                      <a:avLst/>
                    </a:prstGeom>
                    <a:noFill/>
                    <a:extLst/>
                  </pic:spPr>
                </pic:pic>
              </a:graphicData>
            </a:graphic>
            <wp14:sizeRelH relativeFrom="margin">
              <wp14:pctWidth>0</wp14:pctWidth>
            </wp14:sizeRelH>
            <wp14:sizeRelV relativeFrom="margin">
              <wp14:pctHeight>0</wp14:pctHeight>
            </wp14:sizeRelV>
          </wp:anchor>
        </w:drawing>
      </w:r>
      <w:r w:rsidRPr="00B33A72">
        <w:rPr>
          <w:rFonts w:ascii="Calibri" w:eastAsia="MS Mincho" w:hAnsi="Calibri" w:cs="Times New Roman"/>
          <w:noProof/>
          <w:sz w:val="24"/>
          <w:szCs w:val="24"/>
          <w:lang w:eastAsia="it-IT"/>
        </w:rPr>
        <w:drawing>
          <wp:anchor distT="0" distB="0" distL="114300" distR="114300" simplePos="0" relativeHeight="251732992" behindDoc="0" locked="0" layoutInCell="1" allowOverlap="1" wp14:anchorId="12E86086" wp14:editId="77CBAF92">
            <wp:simplePos x="0" y="0"/>
            <wp:positionH relativeFrom="column">
              <wp:posOffset>3395980</wp:posOffset>
            </wp:positionH>
            <wp:positionV relativeFrom="paragraph">
              <wp:posOffset>950382</wp:posOffset>
            </wp:positionV>
            <wp:extent cx="3088640" cy="2057400"/>
            <wp:effectExtent l="0" t="0" r="0" b="0"/>
            <wp:wrapNone/>
            <wp:docPr id="177" name="Picture 12" descr="http://images.placesonline.com/cartografie_comuni/mantova/mantova_mappa.gif">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http://images.placesonline.com/cartografie_comuni/mantova/mantova_mappa.gif">
                      <a:hlinkClick r:id="rId85"/>
                    </pic:cNvP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88640" cy="2057400"/>
                    </a:xfrm>
                    <a:prstGeom prst="rect">
                      <a:avLst/>
                    </a:prstGeom>
                    <a:noFill/>
                    <a:extLst/>
                  </pic:spPr>
                </pic:pic>
              </a:graphicData>
            </a:graphic>
            <wp14:sizeRelH relativeFrom="margin">
              <wp14:pctWidth>0</wp14:pctWidth>
            </wp14:sizeRelH>
            <wp14:sizeRelV relativeFrom="margin">
              <wp14:pctHeight>0</wp14:pctHeight>
            </wp14:sizeRelV>
          </wp:anchor>
        </w:drawing>
      </w:r>
      <w:r w:rsidRPr="00B33A72">
        <w:rPr>
          <w:rFonts w:ascii="Calibri" w:eastAsia="MS Mincho" w:hAnsi="Calibri" w:cs="Arial"/>
          <w:color w:val="000000"/>
          <w:lang w:eastAsia="it-IT"/>
        </w:rPr>
        <w:t xml:space="preserve">Cremona                                                                                         Mantova  </w:t>
      </w:r>
    </w:p>
    <w:p w:rsidR="00B33A72" w:rsidRPr="00B33A72" w:rsidRDefault="00B33A72" w:rsidP="00B33A72">
      <w:pPr>
        <w:spacing w:after="0" w:line="240" w:lineRule="auto"/>
        <w:jc w:val="both"/>
        <w:rPr>
          <w:rFonts w:ascii="Calibri" w:eastAsia="MS Mincho" w:hAnsi="Calibri" w:cs="Arial"/>
          <w:color w:val="000000"/>
          <w:lang w:eastAsia="it-IT"/>
        </w:rPr>
      </w:pPr>
    </w:p>
    <w:p w:rsidR="00B33A72" w:rsidRPr="00B33A72" w:rsidRDefault="00B33A72" w:rsidP="00B81A47">
      <w:pPr>
        <w:jc w:val="both"/>
        <w:rPr>
          <w:rStyle w:val="st1"/>
          <w:rFonts w:cs="Arial"/>
          <w:color w:val="000000" w:themeColor="text1"/>
        </w:rPr>
      </w:pPr>
    </w:p>
    <w:p w:rsidR="00B81A47" w:rsidRDefault="00B81A47"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Default="00982079" w:rsidP="004D2786">
      <w:pPr>
        <w:pStyle w:val="Nessunaspaziatura"/>
        <w:jc w:val="both"/>
        <w:rPr>
          <w:b/>
          <w:color w:val="FF0000"/>
        </w:rPr>
      </w:pPr>
    </w:p>
    <w:p w:rsidR="00982079" w:rsidRPr="000C5A52" w:rsidRDefault="00982079" w:rsidP="004D2786">
      <w:pPr>
        <w:pStyle w:val="Nessunaspaziatura"/>
        <w:jc w:val="both"/>
        <w:rPr>
          <w:b/>
          <w:color w:val="FF0000"/>
        </w:rPr>
      </w:pPr>
    </w:p>
    <w:p w:rsidR="00982079" w:rsidRDefault="00982079" w:rsidP="005A0025">
      <w:pPr>
        <w:jc w:val="both"/>
        <w:rPr>
          <w:rStyle w:val="st1"/>
          <w:rFonts w:cs="Arial"/>
        </w:rPr>
      </w:pPr>
      <w:r w:rsidRPr="00A957EC">
        <w:rPr>
          <w:rStyle w:val="st1"/>
          <w:rFonts w:cs="Arial"/>
        </w:rPr>
        <w:t>Nel confronto tra frequenze di accertamenti clinici e strumentali, non emergono differenze di comportamento assistenziale nelle gravidanze fisiologiche e patologiche,  talché questo percorso non differenziato si configura come inappropriato e suscettibile di azioni  correttive, in coerenza con le Linee Guida Nazionali relative all’assistenza alla gravidanza fisiologica.</w:t>
      </w:r>
    </w:p>
    <w:p w:rsidR="004A6160" w:rsidRDefault="004A6160" w:rsidP="005A0025">
      <w:pPr>
        <w:jc w:val="both"/>
        <w:rPr>
          <w:rStyle w:val="st1"/>
          <w:rFonts w:cs="Arial"/>
        </w:rPr>
      </w:pPr>
    </w:p>
    <w:p w:rsidR="004A6160" w:rsidRDefault="004A6160" w:rsidP="005A0025">
      <w:pPr>
        <w:jc w:val="both"/>
        <w:rPr>
          <w:rStyle w:val="st1"/>
          <w:rFonts w:cs="Arial"/>
        </w:rPr>
      </w:pPr>
    </w:p>
    <w:p w:rsidR="004A6160" w:rsidRDefault="004A6160" w:rsidP="005A0025">
      <w:pPr>
        <w:jc w:val="both"/>
        <w:rPr>
          <w:rStyle w:val="st1"/>
          <w:rFonts w:cs="Arial"/>
        </w:rPr>
      </w:pPr>
    </w:p>
    <w:p w:rsidR="004A6160" w:rsidRPr="00A957EC" w:rsidRDefault="004A6160" w:rsidP="005A0025">
      <w:pPr>
        <w:jc w:val="both"/>
        <w:rPr>
          <w:rStyle w:val="st1"/>
          <w:rFonts w:cs="Arial"/>
        </w:rPr>
      </w:pPr>
    </w:p>
    <w:p w:rsidR="00982079" w:rsidRPr="00A957EC" w:rsidRDefault="00982079" w:rsidP="00982079">
      <w:pPr>
        <w:rPr>
          <w:rStyle w:val="st1"/>
          <w:rFonts w:cs="Arial"/>
        </w:rPr>
      </w:pPr>
      <w:r w:rsidRPr="00A957EC">
        <w:rPr>
          <w:rStyle w:val="st1"/>
          <w:rFonts w:cs="Arial"/>
        </w:rPr>
        <w:lastRenderedPageBreak/>
        <w:t xml:space="preserve">              Frequenza visite</w:t>
      </w:r>
    </w:p>
    <w:tbl>
      <w:tblPr>
        <w:tblW w:w="6159" w:type="dxa"/>
        <w:jc w:val="center"/>
        <w:tblCellMar>
          <w:left w:w="0" w:type="dxa"/>
          <w:right w:w="0" w:type="dxa"/>
        </w:tblCellMar>
        <w:tblLook w:val="0600" w:firstRow="0" w:lastRow="0" w:firstColumn="0" w:lastColumn="0" w:noHBand="1" w:noVBand="1"/>
      </w:tblPr>
      <w:tblGrid>
        <w:gridCol w:w="1073"/>
        <w:gridCol w:w="677"/>
        <w:gridCol w:w="921"/>
        <w:gridCol w:w="921"/>
        <w:gridCol w:w="689"/>
        <w:gridCol w:w="939"/>
        <w:gridCol w:w="939"/>
      </w:tblGrid>
      <w:tr w:rsidR="000C5A52" w:rsidRPr="00A957EC" w:rsidTr="005A0025">
        <w:trPr>
          <w:trHeight w:val="500"/>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jc w:val="center"/>
              <w:textAlignment w:val="bottom"/>
              <w:rPr>
                <w:rFonts w:eastAsia="Times New Roman" w:cs="Arial"/>
              </w:rPr>
            </w:pPr>
          </w:p>
          <w:p w:rsidR="00982079" w:rsidRPr="00A957EC" w:rsidRDefault="00982079" w:rsidP="005A0025">
            <w:pPr>
              <w:spacing w:line="300" w:lineRule="atLeast"/>
              <w:jc w:val="center"/>
              <w:textAlignment w:val="bottom"/>
              <w:rPr>
                <w:rFonts w:eastAsia="Times New Roman" w:cs="Arial"/>
              </w:rPr>
            </w:pP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Gravidanza fisiologica</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Gravidanza patologica</w:t>
            </w:r>
          </w:p>
        </w:tc>
      </w:tr>
      <w:tr w:rsidR="000C5A52" w:rsidRPr="00A957EC" w:rsidTr="005A0025">
        <w:trPr>
          <w:trHeight w:val="50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2079" w:rsidRPr="00A957EC" w:rsidRDefault="00982079" w:rsidP="005A0025">
            <w:pPr>
              <w:jc w:val="center"/>
              <w:rPr>
                <w:rFonts w:eastAsia="Times New Roman" w:cs="Arial"/>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1-4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1-4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4+</w:t>
            </w:r>
          </w:p>
        </w:tc>
      </w:tr>
      <w:tr w:rsidR="000C5A52" w:rsidRPr="00A957EC" w:rsidTr="005A0025">
        <w:trPr>
          <w:trHeight w:val="5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Cremona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0,7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7,5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91,8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0,6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6,5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92,9</w:t>
            </w:r>
          </w:p>
        </w:tc>
      </w:tr>
      <w:tr w:rsidR="000C5A52" w:rsidRPr="00A957EC" w:rsidTr="005A0025">
        <w:trPr>
          <w:trHeight w:val="5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Mantova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0,4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5,5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94,1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0,3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3,6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96,1</w:t>
            </w:r>
          </w:p>
        </w:tc>
      </w:tr>
      <w:tr w:rsidR="000C5A52" w:rsidRPr="00A957EC" w:rsidTr="005A0025">
        <w:trPr>
          <w:trHeight w:val="5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Italia</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1,4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11,8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86,8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1,8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10,5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87,7</w:t>
            </w:r>
          </w:p>
        </w:tc>
      </w:tr>
    </w:tbl>
    <w:p w:rsidR="00982079" w:rsidRPr="00A957EC" w:rsidRDefault="00982079" w:rsidP="00982079">
      <w:pPr>
        <w:rPr>
          <w:rStyle w:val="st1"/>
          <w:rFonts w:cs="Arial"/>
        </w:rPr>
      </w:pPr>
      <w:r w:rsidRPr="00A957EC">
        <w:rPr>
          <w:rStyle w:val="st1"/>
          <w:rFonts w:cs="Arial"/>
        </w:rPr>
        <w:t xml:space="preserve">    Numero medio ecografie ostetriche</w:t>
      </w:r>
    </w:p>
    <w:tbl>
      <w:tblPr>
        <w:tblW w:w="8333" w:type="dxa"/>
        <w:jc w:val="center"/>
        <w:tblCellMar>
          <w:left w:w="0" w:type="dxa"/>
          <w:right w:w="0" w:type="dxa"/>
        </w:tblCellMar>
        <w:tblLook w:val="0600" w:firstRow="0" w:lastRow="0" w:firstColumn="0" w:lastColumn="0" w:noHBand="1" w:noVBand="1"/>
      </w:tblPr>
      <w:tblGrid>
        <w:gridCol w:w="1291"/>
        <w:gridCol w:w="3391"/>
        <w:gridCol w:w="3651"/>
      </w:tblGrid>
      <w:tr w:rsidR="000C5A52" w:rsidRPr="00A957EC" w:rsidTr="005A0025">
        <w:trPr>
          <w:trHeight w:val="305"/>
          <w:jc w:val="center"/>
        </w:trPr>
        <w:tc>
          <w:tcPr>
            <w:tcW w:w="12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p>
        </w:tc>
        <w:tc>
          <w:tcPr>
            <w:tcW w:w="33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Gravidanza fisiologica</w:t>
            </w:r>
          </w:p>
        </w:tc>
        <w:tc>
          <w:tcPr>
            <w:tcW w:w="36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Gravidanza patologica</w:t>
            </w:r>
          </w:p>
        </w:tc>
      </w:tr>
      <w:tr w:rsidR="000C5A52" w:rsidRPr="00A957EC" w:rsidTr="005A0025">
        <w:trPr>
          <w:trHeight w:val="305"/>
          <w:jc w:val="center"/>
        </w:trPr>
        <w:tc>
          <w:tcPr>
            <w:tcW w:w="12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Cremona</w:t>
            </w:r>
          </w:p>
        </w:tc>
        <w:tc>
          <w:tcPr>
            <w:tcW w:w="33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4,8</w:t>
            </w:r>
          </w:p>
        </w:tc>
        <w:tc>
          <w:tcPr>
            <w:tcW w:w="36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5,2</w:t>
            </w:r>
          </w:p>
        </w:tc>
      </w:tr>
      <w:tr w:rsidR="000C5A52" w:rsidRPr="00A957EC" w:rsidTr="005A0025">
        <w:trPr>
          <w:trHeight w:val="305"/>
          <w:jc w:val="center"/>
        </w:trPr>
        <w:tc>
          <w:tcPr>
            <w:tcW w:w="12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Mantova</w:t>
            </w:r>
          </w:p>
        </w:tc>
        <w:tc>
          <w:tcPr>
            <w:tcW w:w="33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5,0</w:t>
            </w:r>
          </w:p>
        </w:tc>
        <w:tc>
          <w:tcPr>
            <w:tcW w:w="36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5,7</w:t>
            </w:r>
          </w:p>
        </w:tc>
      </w:tr>
      <w:tr w:rsidR="000C5A52" w:rsidRPr="00A957EC" w:rsidTr="005A0025">
        <w:trPr>
          <w:trHeight w:val="305"/>
          <w:jc w:val="center"/>
        </w:trPr>
        <w:tc>
          <w:tcPr>
            <w:tcW w:w="12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Lombardia</w:t>
            </w:r>
          </w:p>
        </w:tc>
        <w:tc>
          <w:tcPr>
            <w:tcW w:w="33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4,7</w:t>
            </w:r>
          </w:p>
        </w:tc>
        <w:tc>
          <w:tcPr>
            <w:tcW w:w="36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5,4</w:t>
            </w:r>
          </w:p>
        </w:tc>
      </w:tr>
      <w:tr w:rsidR="00982079" w:rsidRPr="00A957EC" w:rsidTr="005A0025">
        <w:trPr>
          <w:trHeight w:val="305"/>
          <w:jc w:val="center"/>
        </w:trPr>
        <w:tc>
          <w:tcPr>
            <w:tcW w:w="12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
                <w:bCs/>
                <w:kern w:val="24"/>
              </w:rPr>
              <w:t>Italia</w:t>
            </w:r>
          </w:p>
        </w:tc>
        <w:tc>
          <w:tcPr>
            <w:tcW w:w="33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5,3</w:t>
            </w:r>
          </w:p>
        </w:tc>
        <w:tc>
          <w:tcPr>
            <w:tcW w:w="36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982079" w:rsidRPr="00A957EC" w:rsidRDefault="00982079" w:rsidP="005A0025">
            <w:pPr>
              <w:spacing w:line="300" w:lineRule="atLeast"/>
              <w:jc w:val="center"/>
              <w:textAlignment w:val="bottom"/>
              <w:rPr>
                <w:rFonts w:eastAsia="Times New Roman" w:cs="Arial"/>
              </w:rPr>
            </w:pPr>
            <w:r w:rsidRPr="00A957EC">
              <w:rPr>
                <w:rFonts w:eastAsia="Times New Roman" w:cs="Arial"/>
                <w:bCs/>
                <w:kern w:val="24"/>
              </w:rPr>
              <w:t>5,4</w:t>
            </w:r>
          </w:p>
        </w:tc>
      </w:tr>
    </w:tbl>
    <w:p w:rsidR="00982079" w:rsidRPr="00A957EC" w:rsidRDefault="00982079" w:rsidP="005A0025">
      <w:pPr>
        <w:spacing w:after="0"/>
        <w:jc w:val="both"/>
        <w:rPr>
          <w:rStyle w:val="st1"/>
          <w:rFonts w:cs="Arial"/>
        </w:rPr>
      </w:pPr>
    </w:p>
    <w:p w:rsidR="00982079" w:rsidRPr="00A957EC" w:rsidRDefault="00982079" w:rsidP="005A0025">
      <w:pPr>
        <w:spacing w:after="0"/>
        <w:jc w:val="both"/>
        <w:rPr>
          <w:rStyle w:val="st1"/>
          <w:rFonts w:cs="Arial"/>
        </w:rPr>
      </w:pPr>
      <w:r w:rsidRPr="00A957EC">
        <w:rPr>
          <w:rStyle w:val="st1"/>
          <w:rFonts w:cs="Arial"/>
        </w:rPr>
        <w:t xml:space="preserve">La prima visita tardiva (&gt;12 settimane) e la mancata esecuzione della ecografia morfologica sono indicatori di un basso livello assistenziale e di una difficoltà di accesso ai Servizi. </w:t>
      </w:r>
    </w:p>
    <w:p w:rsidR="000C5A52" w:rsidRPr="00A957EC" w:rsidRDefault="00982079" w:rsidP="00A957EC">
      <w:pPr>
        <w:spacing w:after="0"/>
        <w:jc w:val="both"/>
        <w:rPr>
          <w:rStyle w:val="st1"/>
          <w:rFonts w:cs="Arial"/>
        </w:rPr>
      </w:pPr>
      <w:r w:rsidRPr="00A957EC">
        <w:rPr>
          <w:rStyle w:val="st1"/>
          <w:rFonts w:cs="Arial"/>
        </w:rPr>
        <w:t>Gli istogrammi che seguono mostrano la frequenza di questi indicatori negativi pe</w:t>
      </w:r>
      <w:r w:rsidR="00A957EC">
        <w:rPr>
          <w:rStyle w:val="st1"/>
          <w:rFonts w:cs="Arial"/>
        </w:rPr>
        <w:t>r territorio e per nazionalità.</w:t>
      </w:r>
    </w:p>
    <w:p w:rsidR="00982079" w:rsidRPr="005A0025" w:rsidRDefault="00982079" w:rsidP="00982079">
      <w:pPr>
        <w:jc w:val="both"/>
        <w:rPr>
          <w:rStyle w:val="st1"/>
          <w:rFonts w:cs="Arial"/>
          <w:color w:val="000000" w:themeColor="text1"/>
        </w:rPr>
      </w:pPr>
      <w:r w:rsidRPr="005A0025">
        <w:rPr>
          <w:rStyle w:val="st1"/>
          <w:rFonts w:cs="Arial"/>
          <w:color w:val="000000" w:themeColor="text1"/>
        </w:rPr>
        <w:t>% di gravidanze con prima vista tardiva                            % di gravidanze senza ecografia morfologica</w:t>
      </w:r>
    </w:p>
    <w:p w:rsidR="00982079" w:rsidRPr="005A0025" w:rsidRDefault="00982079" w:rsidP="00982079">
      <w:pPr>
        <w:jc w:val="both"/>
        <w:rPr>
          <w:rStyle w:val="st1"/>
          <w:rFonts w:cs="Arial"/>
          <w:color w:val="000000" w:themeColor="text1"/>
        </w:rPr>
      </w:pPr>
      <w:r w:rsidRPr="005A0025">
        <w:rPr>
          <w:rFonts w:cs="Arial"/>
          <w:noProof/>
          <w:color w:val="000000" w:themeColor="text1"/>
          <w:lang w:eastAsia="it-IT"/>
        </w:rPr>
        <w:drawing>
          <wp:inline distT="0" distB="0" distL="0" distR="0" wp14:anchorId="5C1B6B66" wp14:editId="22F40F88">
            <wp:extent cx="2981325" cy="1943100"/>
            <wp:effectExtent l="0" t="0" r="0" b="0"/>
            <wp:docPr id="688" name="Grafico 688"/>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5A0025">
        <w:rPr>
          <w:rStyle w:val="st1"/>
          <w:rFonts w:cs="Arial"/>
          <w:color w:val="000000" w:themeColor="text1"/>
        </w:rPr>
        <w:t xml:space="preserve">  </w:t>
      </w:r>
      <w:r w:rsidR="005A0025" w:rsidRPr="005A0025">
        <w:rPr>
          <w:rFonts w:cs="Arial"/>
          <w:b/>
          <w:noProof/>
          <w:color w:val="000000" w:themeColor="text1"/>
          <w:lang w:eastAsia="it-IT"/>
        </w:rPr>
        <w:drawing>
          <wp:inline distT="0" distB="0" distL="0" distR="0" wp14:anchorId="0804A854" wp14:editId="35BA62C7">
            <wp:extent cx="2981325" cy="1771650"/>
            <wp:effectExtent l="0" t="0" r="0" b="0"/>
            <wp:docPr id="690" name="Grafico 690"/>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5A0025">
        <w:rPr>
          <w:rStyle w:val="st1"/>
          <w:rFonts w:cs="Arial"/>
          <w:color w:val="000000" w:themeColor="text1"/>
        </w:rPr>
        <w:t xml:space="preserve"> </w:t>
      </w:r>
    </w:p>
    <w:p w:rsidR="00982079" w:rsidRPr="00A957EC" w:rsidRDefault="00982079" w:rsidP="005A0025">
      <w:pPr>
        <w:spacing w:after="0"/>
        <w:jc w:val="both"/>
        <w:rPr>
          <w:rStyle w:val="st1"/>
          <w:rFonts w:cs="Arial"/>
        </w:rPr>
      </w:pPr>
      <w:r w:rsidRPr="00A957EC">
        <w:rPr>
          <w:rStyle w:val="st1"/>
          <w:rFonts w:cs="Arial"/>
        </w:rPr>
        <w:t>Le straniere presentano una probabilità più che tripla di accedere in ritardo alla prima visita sia a Mantova che a Cremona, con un OR rispettivamente pari a 3,39 ed a 3,30, mentre la mancanza della ecografia morfologica per le straniere mostra una probabilità più che doppia di verificarsi a Cremona (OR= 2,76), disuguaglianza non presente invece a Mantova. La scolarità alta e l’occupazione risultano comunque sempre fattori che proteggono da questo svantaggio.</w:t>
      </w:r>
    </w:p>
    <w:p w:rsidR="00B136B2" w:rsidRDefault="00B136B2" w:rsidP="005A0025">
      <w:pPr>
        <w:spacing w:after="0"/>
        <w:jc w:val="both"/>
        <w:rPr>
          <w:rStyle w:val="st1"/>
          <w:rFonts w:cs="Arial"/>
        </w:rPr>
      </w:pPr>
    </w:p>
    <w:p w:rsidR="00B136B2" w:rsidRDefault="00B136B2" w:rsidP="005A0025">
      <w:pPr>
        <w:spacing w:after="0"/>
        <w:jc w:val="both"/>
        <w:rPr>
          <w:rStyle w:val="st1"/>
          <w:rFonts w:cs="Arial"/>
        </w:rPr>
      </w:pPr>
    </w:p>
    <w:p w:rsidR="00982079" w:rsidRPr="00A957EC" w:rsidRDefault="00982079" w:rsidP="005A0025">
      <w:pPr>
        <w:spacing w:after="0"/>
        <w:jc w:val="both"/>
        <w:rPr>
          <w:rStyle w:val="st1"/>
          <w:rFonts w:cs="Arial"/>
        </w:rPr>
      </w:pPr>
      <w:r w:rsidRPr="00A957EC">
        <w:rPr>
          <w:rStyle w:val="st1"/>
          <w:rFonts w:cs="Arial"/>
        </w:rPr>
        <w:lastRenderedPageBreak/>
        <w:t>Relativamente alla diagnosi prenatale, si registra nelle donne residenti in provincia di Mantova un maggior ricorso alla diagnostica invasiva, soprattutto per quanto concerne la villocentesi, ampiamente preferita alla più tardiva amniocentesi. Una differenza che spicca sia nel confronto regionale che nazionale e sulla quale vale la pena riflettere.</w:t>
      </w:r>
    </w:p>
    <w:p w:rsidR="00982079" w:rsidRPr="00A957EC" w:rsidRDefault="00982079" w:rsidP="005A0025">
      <w:pPr>
        <w:spacing w:after="0"/>
        <w:jc w:val="both"/>
        <w:rPr>
          <w:rStyle w:val="st1"/>
          <w:rFonts w:cs="Arial"/>
        </w:rPr>
      </w:pPr>
      <w:r w:rsidRPr="00A957EC">
        <w:rPr>
          <w:rStyle w:val="st1"/>
          <w:rFonts w:cs="Arial"/>
        </w:rPr>
        <w:t xml:space="preserve">Le donne italiane accedono più frequentemente a questa prassi diagnostica rispetto alle straniere e la condizione di occupata appare in ogni caso un elemento favorente (OR=1,56 a Cremona e OR=1,26 a Mantova). </w:t>
      </w:r>
    </w:p>
    <w:p w:rsidR="00982079" w:rsidRPr="00C6240B" w:rsidRDefault="00982079" w:rsidP="00982079">
      <w:pPr>
        <w:jc w:val="both"/>
        <w:rPr>
          <w:rStyle w:val="st1"/>
          <w:rFonts w:asciiTheme="majorHAnsi" w:hAnsiTheme="majorHAnsi" w:cs="Arial"/>
          <w:color w:val="000000" w:themeColor="text1"/>
        </w:rPr>
      </w:pPr>
    </w:p>
    <w:p w:rsidR="00982079" w:rsidRPr="00C6240B" w:rsidRDefault="00982079" w:rsidP="00982079">
      <w:pPr>
        <w:jc w:val="both"/>
        <w:rPr>
          <w:rStyle w:val="st1"/>
          <w:rFonts w:asciiTheme="majorHAnsi" w:hAnsiTheme="majorHAnsi" w:cs="Arial"/>
          <w:color w:val="000000" w:themeColor="text1"/>
        </w:rPr>
      </w:pPr>
      <w:r w:rsidRPr="005A0025">
        <w:rPr>
          <w:rStyle w:val="st1"/>
          <w:rFonts w:cs="Arial"/>
          <w:color w:val="000000" w:themeColor="text1"/>
        </w:rPr>
        <w:t>% diagnosi prenatale invasiva                                                     %  diagnosi prenatale invasiva per</w:t>
      </w:r>
      <w:r w:rsidRPr="00C6240B">
        <w:rPr>
          <w:rStyle w:val="st1"/>
          <w:rFonts w:asciiTheme="majorHAnsi" w:hAnsiTheme="majorHAnsi" w:cs="Arial"/>
          <w:color w:val="000000" w:themeColor="text1"/>
        </w:rPr>
        <w:t xml:space="preserve"> </w:t>
      </w:r>
      <w:r w:rsidRPr="005A0025">
        <w:rPr>
          <w:rStyle w:val="st1"/>
          <w:rFonts w:cs="Arial"/>
          <w:color w:val="000000" w:themeColor="text1"/>
        </w:rPr>
        <w:t>nazionalità</w:t>
      </w:r>
    </w:p>
    <w:p w:rsidR="00982079" w:rsidRPr="005A0025" w:rsidRDefault="00982079" w:rsidP="00982079">
      <w:pPr>
        <w:jc w:val="both"/>
        <w:rPr>
          <w:rFonts w:asciiTheme="majorHAnsi" w:hAnsiTheme="majorHAnsi" w:cs="Arial"/>
          <w:color w:val="000000" w:themeColor="text1"/>
        </w:rPr>
      </w:pPr>
      <w:r w:rsidRPr="00C06553">
        <w:rPr>
          <w:rFonts w:asciiTheme="majorHAnsi" w:hAnsiTheme="majorHAnsi" w:cs="Arial"/>
          <w:noProof/>
          <w:color w:val="000000" w:themeColor="text1"/>
          <w:lang w:eastAsia="it-IT"/>
        </w:rPr>
        <w:drawing>
          <wp:inline distT="0" distB="0" distL="0" distR="0" wp14:anchorId="4A6C31FA" wp14:editId="33C61AD0">
            <wp:extent cx="3076575" cy="1885950"/>
            <wp:effectExtent l="0" t="0" r="0" b="0"/>
            <wp:docPr id="691" name="Grafico 69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Pr="00C06553">
        <w:rPr>
          <w:rFonts w:asciiTheme="majorHAnsi" w:hAnsiTheme="majorHAnsi" w:cs="Arial"/>
          <w:noProof/>
          <w:color w:val="000000" w:themeColor="text1"/>
          <w:lang w:eastAsia="it-IT"/>
        </w:rPr>
        <w:drawing>
          <wp:inline distT="0" distB="0" distL="0" distR="0" wp14:anchorId="51FF72FB" wp14:editId="4FEAE3B8">
            <wp:extent cx="3000375" cy="1771650"/>
            <wp:effectExtent l="0" t="0" r="0" b="0"/>
            <wp:docPr id="692" name="Grafico 69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982079" w:rsidRPr="00A957EC" w:rsidRDefault="00982079" w:rsidP="00982079">
      <w:pPr>
        <w:jc w:val="both"/>
        <w:rPr>
          <w:noProof/>
        </w:rPr>
      </w:pPr>
      <w:r w:rsidRPr="00A957EC">
        <w:rPr>
          <w:noProof/>
        </w:rPr>
        <w:t>Il parto pretermine</w:t>
      </w:r>
      <w:r w:rsidRPr="00A957EC">
        <w:rPr>
          <w:i/>
          <w:noProof/>
        </w:rPr>
        <w:t xml:space="preserve"> </w:t>
      </w:r>
      <w:r w:rsidRPr="00A957EC">
        <w:rPr>
          <w:noProof/>
        </w:rPr>
        <w:t xml:space="preserve">presenta percentuali simili ed in linea con i riferimenti regionali e nazionali, ma a Cremona le straniere mostrano una probabilità maggiore (42% in più) di partorire prima della 37esima  settimana (OR =1,42). </w:t>
      </w:r>
    </w:p>
    <w:p w:rsidR="000C5A52" w:rsidRPr="000C5A52" w:rsidRDefault="000C5A52" w:rsidP="00982079">
      <w:pPr>
        <w:jc w:val="both"/>
        <w:rPr>
          <w:noProof/>
          <w:color w:val="FF0000"/>
        </w:rPr>
      </w:pPr>
    </w:p>
    <w:p w:rsidR="00982079" w:rsidRPr="005A0025" w:rsidRDefault="00982079" w:rsidP="00982079">
      <w:pPr>
        <w:jc w:val="both"/>
        <w:rPr>
          <w:noProof/>
        </w:rPr>
      </w:pPr>
      <w:r w:rsidRPr="005A0025">
        <w:rPr>
          <w:noProof/>
        </w:rPr>
        <w:t>% parti pretermine                                                                   % parti pretermine per nazionalità</w:t>
      </w:r>
    </w:p>
    <w:p w:rsidR="00982079" w:rsidRPr="00C06553" w:rsidRDefault="00982079" w:rsidP="00982079">
      <w:pPr>
        <w:jc w:val="both"/>
        <w:rPr>
          <w:rStyle w:val="st1"/>
          <w:rFonts w:asciiTheme="majorHAnsi" w:hAnsiTheme="majorHAnsi" w:cs="Arial"/>
          <w:color w:val="000000" w:themeColor="text1"/>
        </w:rPr>
      </w:pPr>
      <w:r w:rsidRPr="00C06553">
        <w:rPr>
          <w:rFonts w:asciiTheme="majorHAnsi" w:hAnsiTheme="majorHAnsi" w:cs="Arial"/>
          <w:noProof/>
          <w:color w:val="000000" w:themeColor="text1"/>
          <w:lang w:eastAsia="it-IT"/>
        </w:rPr>
        <w:drawing>
          <wp:inline distT="0" distB="0" distL="0" distR="0" wp14:anchorId="012EF033" wp14:editId="00C18CA7">
            <wp:extent cx="3076575" cy="1590675"/>
            <wp:effectExtent l="0" t="0" r="0" b="0"/>
            <wp:docPr id="693" name="Grafico 69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Pr="00C06553">
        <w:rPr>
          <w:rFonts w:asciiTheme="majorHAnsi" w:hAnsiTheme="majorHAnsi" w:cs="Arial"/>
          <w:noProof/>
          <w:color w:val="000000" w:themeColor="text1"/>
          <w:lang w:eastAsia="it-IT"/>
        </w:rPr>
        <w:drawing>
          <wp:inline distT="0" distB="0" distL="0" distR="0" wp14:anchorId="1C3D9805" wp14:editId="01FDC362">
            <wp:extent cx="2981325" cy="1619250"/>
            <wp:effectExtent l="0" t="0" r="0" b="0"/>
            <wp:docPr id="695" name="Grafico 695"/>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982079" w:rsidRPr="00A957EC" w:rsidRDefault="00982079" w:rsidP="00982079">
      <w:pPr>
        <w:jc w:val="both"/>
        <w:rPr>
          <w:rStyle w:val="st1"/>
          <w:rFonts w:cs="Arial"/>
        </w:rPr>
      </w:pPr>
      <w:r w:rsidRPr="00A957EC">
        <w:rPr>
          <w:rStyle w:val="st1"/>
          <w:rFonts w:cs="Arial"/>
        </w:rPr>
        <w:t>Il parto con taglio cesareo è largamente praticato sia a Mantova che a Cremona, anche se quest’ultima risulta più in linea con il dato regionale. Disaggregando per le classi di Robson, si osserva che nelle prime (1,2a, 3, 4a), riferite a condizioni fisiologiche di gravidanza in cui le indicazioni al taglio cesareo dovrebbero quindi essere eccezionali, la frequenza è maggiore di quasi un terzo a Mantova, sia nelle italiane che nelle straniere. Un’inappropriatezza che non può essere attribuita in toto alla struttura ospedaliera, ma all’intero percorso assistenzi</w:t>
      </w:r>
      <w:r w:rsidR="00A957EC">
        <w:rPr>
          <w:rStyle w:val="st1"/>
          <w:rFonts w:cs="Arial"/>
        </w:rPr>
        <w:t>ale intra ed extra ospedaliero, configurandosi quindi come luogo privilegiato della promozione della salute e della prevenzione.</w:t>
      </w:r>
    </w:p>
    <w:p w:rsidR="00982079" w:rsidRPr="00C6240B" w:rsidRDefault="00982079" w:rsidP="00982079">
      <w:pPr>
        <w:jc w:val="both"/>
        <w:rPr>
          <w:rStyle w:val="st1"/>
          <w:rFonts w:asciiTheme="majorHAnsi" w:hAnsiTheme="majorHAnsi" w:cs="Arial"/>
          <w:color w:val="000000" w:themeColor="text1"/>
        </w:rPr>
      </w:pPr>
    </w:p>
    <w:p w:rsidR="00982079" w:rsidRPr="00A957EC" w:rsidRDefault="00982079" w:rsidP="00982079">
      <w:pPr>
        <w:jc w:val="both"/>
        <w:rPr>
          <w:rStyle w:val="st1"/>
          <w:rFonts w:cs="Arial"/>
          <w:color w:val="000000" w:themeColor="text1"/>
        </w:rPr>
      </w:pPr>
      <w:r w:rsidRPr="00A957EC">
        <w:rPr>
          <w:rStyle w:val="st1"/>
          <w:rFonts w:cs="Arial"/>
          <w:color w:val="000000" w:themeColor="text1"/>
        </w:rPr>
        <w:lastRenderedPageBreak/>
        <w:t xml:space="preserve">% parto cesareo                                                                                    % parto cesareo prime classi di Robson                                      </w:t>
      </w:r>
    </w:p>
    <w:p w:rsidR="00982079" w:rsidRPr="00EF2202" w:rsidRDefault="00982079" w:rsidP="00982079">
      <w:pPr>
        <w:jc w:val="both"/>
        <w:rPr>
          <w:rStyle w:val="st1"/>
          <w:rFonts w:asciiTheme="majorHAnsi" w:hAnsiTheme="majorHAnsi" w:cs="Arial"/>
          <w:color w:val="000000" w:themeColor="text1"/>
        </w:rPr>
      </w:pPr>
      <w:r w:rsidRPr="00C06553">
        <w:rPr>
          <w:rFonts w:asciiTheme="majorHAnsi" w:hAnsiTheme="majorHAnsi" w:cs="Arial"/>
          <w:noProof/>
          <w:color w:val="000000" w:themeColor="text1"/>
          <w:lang w:eastAsia="it-IT"/>
        </w:rPr>
        <w:drawing>
          <wp:inline distT="0" distB="0" distL="0" distR="0" wp14:anchorId="7F3D3D55" wp14:editId="6B66ED50">
            <wp:extent cx="2886075" cy="1600200"/>
            <wp:effectExtent l="0" t="0" r="0" b="0"/>
            <wp:docPr id="696" name="Grafico 696"/>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Pr="00C06553">
        <w:rPr>
          <w:rFonts w:asciiTheme="majorHAnsi" w:hAnsiTheme="majorHAnsi" w:cs="Arial"/>
          <w:noProof/>
          <w:color w:val="000000" w:themeColor="text1"/>
          <w:lang w:eastAsia="it-IT"/>
        </w:rPr>
        <w:drawing>
          <wp:inline distT="0" distB="0" distL="0" distR="0" wp14:anchorId="66AAFFC9" wp14:editId="4923A73F">
            <wp:extent cx="3009900" cy="1619250"/>
            <wp:effectExtent l="0" t="0" r="0" b="0"/>
            <wp:docPr id="699" name="Grafico 699"/>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982079" w:rsidRPr="00A957EC" w:rsidRDefault="00982079" w:rsidP="00982079">
      <w:pPr>
        <w:jc w:val="both"/>
        <w:rPr>
          <w:rStyle w:val="st1"/>
          <w:rFonts w:cs="Arial"/>
        </w:rPr>
      </w:pPr>
      <w:r w:rsidRPr="00A957EC">
        <w:rPr>
          <w:rStyle w:val="st1"/>
          <w:rFonts w:cs="Arial"/>
        </w:rPr>
        <w:t>La parto-analgesia nel parto vaginale, prestazione prevista dai LEA nazionali, è assicurata più a Mantova che a Cremona ed interessa in percentuale maggiore le donne italiane rispetto alle straniere che quindi risultano più svantaggiate in entrambe le aree territoriali.</w:t>
      </w:r>
    </w:p>
    <w:p w:rsidR="00982079" w:rsidRPr="00EF2202" w:rsidRDefault="00982079" w:rsidP="00982079">
      <w:pPr>
        <w:jc w:val="both"/>
        <w:rPr>
          <w:rStyle w:val="st1"/>
          <w:rFonts w:cs="Arial"/>
          <w:color w:val="000000" w:themeColor="text1"/>
        </w:rPr>
      </w:pPr>
    </w:p>
    <w:p w:rsidR="00982079" w:rsidRPr="00EF2202" w:rsidRDefault="00982079" w:rsidP="00EF2202">
      <w:pPr>
        <w:jc w:val="center"/>
        <w:rPr>
          <w:rStyle w:val="st1"/>
          <w:rFonts w:asciiTheme="majorHAnsi" w:hAnsiTheme="majorHAnsi" w:cs="Arial"/>
          <w:color w:val="000000" w:themeColor="text1"/>
        </w:rPr>
      </w:pPr>
      <w:r w:rsidRPr="00A957EC">
        <w:rPr>
          <w:rFonts w:asciiTheme="majorHAnsi" w:hAnsiTheme="majorHAnsi" w:cs="Arial"/>
          <w:noProof/>
          <w:color w:val="000000" w:themeColor="text1"/>
          <w:lang w:eastAsia="it-IT"/>
        </w:rPr>
        <w:drawing>
          <wp:inline distT="0" distB="0" distL="0" distR="0" wp14:anchorId="61861729" wp14:editId="70337B73">
            <wp:extent cx="3505200" cy="2028825"/>
            <wp:effectExtent l="0" t="0" r="0" b="0"/>
            <wp:docPr id="697" name="Grafico 69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982079" w:rsidRPr="00A957EC" w:rsidRDefault="00982079" w:rsidP="00982079">
      <w:pPr>
        <w:spacing w:after="0"/>
        <w:jc w:val="both"/>
        <w:rPr>
          <w:rStyle w:val="st1"/>
          <w:rFonts w:cs="Arial"/>
        </w:rPr>
      </w:pPr>
      <w:r w:rsidRPr="00A957EC">
        <w:rPr>
          <w:rStyle w:val="st1"/>
          <w:rFonts w:cs="Arial"/>
        </w:rPr>
        <w:t xml:space="preserve">La mortalità materna è definita come la morte durante la gravidanza, o nei 42 giorni dopo un evento ostetrico, aborto spontaneo o IVG, ed è un fenomeno raro nei Paesi con sviluppo occidentale, ma sempre attentamente monitorato in quanto nella maggior parte dei casi imputabile a </w:t>
      </w:r>
      <w:r w:rsidRPr="00A957EC">
        <w:rPr>
          <w:rStyle w:val="st1"/>
          <w:rFonts w:cs="Arial"/>
          <w:i/>
        </w:rPr>
        <w:t>sub-standard care</w:t>
      </w:r>
      <w:r w:rsidRPr="00A957EC">
        <w:rPr>
          <w:rStyle w:val="st1"/>
          <w:rFonts w:cs="Arial"/>
        </w:rPr>
        <w:t xml:space="preserve"> e quindi prevenibile. Il Ministero della Salute insieme all’Istituto Superiore di Sanità (ISS), in accordo con le indicazioni europee, ha da tempo avviato un sistema di sorveglianza attiva in diverse regioni italiane, tra cui anche la Lombardia. La collaborazione con i Servizi regionali ci ha permesso di studiare e quantificare esattamente il fenomeno, nonché  di contestualizzare i nostri dati con quelli nazionali sui quali è apparso allineato. Il tasso di riferimento è 11,8.</w:t>
      </w:r>
    </w:p>
    <w:p w:rsidR="00982079" w:rsidRPr="000C5A52" w:rsidRDefault="00982079" w:rsidP="00982079">
      <w:pPr>
        <w:spacing w:after="0"/>
        <w:jc w:val="both"/>
        <w:rPr>
          <w:rStyle w:val="st1"/>
          <w:rFonts w:cs="Arial"/>
          <w:color w:val="FF0000"/>
        </w:rPr>
      </w:pPr>
    </w:p>
    <w:tbl>
      <w:tblPr>
        <w:tblW w:w="7073" w:type="dxa"/>
        <w:jc w:val="center"/>
        <w:tblCellMar>
          <w:left w:w="0" w:type="dxa"/>
          <w:right w:w="0" w:type="dxa"/>
        </w:tblCellMar>
        <w:tblLook w:val="0600" w:firstRow="0" w:lastRow="0" w:firstColumn="0" w:lastColumn="0" w:noHBand="1" w:noVBand="1"/>
      </w:tblPr>
      <w:tblGrid>
        <w:gridCol w:w="2133"/>
        <w:gridCol w:w="2540"/>
        <w:gridCol w:w="2400"/>
      </w:tblGrid>
      <w:tr w:rsidR="000C5A52" w:rsidRPr="00A957EC" w:rsidTr="005A0025">
        <w:trPr>
          <w:trHeight w:val="311"/>
          <w:jc w:val="center"/>
        </w:trPr>
        <w:tc>
          <w:tcPr>
            <w:tcW w:w="2133"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rPr>
                <w:rFonts w:eastAsia="Times New Roman" w:cs="Arial"/>
              </w:rPr>
            </w:pPr>
          </w:p>
        </w:tc>
        <w:tc>
          <w:tcPr>
            <w:tcW w:w="2540"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jc w:val="center"/>
              <w:textAlignment w:val="bottom"/>
              <w:rPr>
                <w:rFonts w:eastAsia="Times New Roman" w:cs="Arial"/>
              </w:rPr>
            </w:pPr>
            <w:r w:rsidRPr="00A957EC">
              <w:rPr>
                <w:rFonts w:eastAsia="Times New Roman" w:cs="Arial"/>
                <w:bCs/>
                <w:kern w:val="24"/>
              </w:rPr>
              <w:t>Mantova</w:t>
            </w:r>
          </w:p>
        </w:tc>
        <w:tc>
          <w:tcPr>
            <w:tcW w:w="2400"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jc w:val="center"/>
              <w:textAlignment w:val="bottom"/>
              <w:rPr>
                <w:rFonts w:eastAsia="Times New Roman" w:cs="Arial"/>
              </w:rPr>
            </w:pPr>
            <w:r w:rsidRPr="00A957EC">
              <w:rPr>
                <w:rFonts w:eastAsia="Times New Roman" w:cs="Arial"/>
                <w:bCs/>
                <w:kern w:val="24"/>
              </w:rPr>
              <w:t>Cremona</w:t>
            </w:r>
          </w:p>
        </w:tc>
      </w:tr>
      <w:tr w:rsidR="000C5A52" w:rsidRPr="00A957EC" w:rsidTr="005A0025">
        <w:trPr>
          <w:trHeight w:val="311"/>
          <w:jc w:val="center"/>
        </w:trPr>
        <w:tc>
          <w:tcPr>
            <w:tcW w:w="2133"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textAlignment w:val="bottom"/>
              <w:rPr>
                <w:rFonts w:eastAsia="Times New Roman" w:cs="Arial"/>
              </w:rPr>
            </w:pPr>
            <w:r w:rsidRPr="00A957EC">
              <w:rPr>
                <w:rFonts w:eastAsia="Times New Roman" w:cs="Arial"/>
                <w:bCs/>
                <w:kern w:val="24"/>
              </w:rPr>
              <w:t>Numeratore*</w:t>
            </w:r>
          </w:p>
        </w:tc>
        <w:tc>
          <w:tcPr>
            <w:tcW w:w="2540"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jc w:val="center"/>
              <w:textAlignment w:val="bottom"/>
              <w:rPr>
                <w:rFonts w:eastAsia="Times New Roman" w:cs="Arial"/>
              </w:rPr>
            </w:pPr>
            <w:r w:rsidRPr="00A957EC">
              <w:rPr>
                <w:rFonts w:eastAsia="Times New Roman" w:cs="Arial"/>
                <w:bCs/>
                <w:kern w:val="24"/>
              </w:rPr>
              <w:t>4</w:t>
            </w:r>
          </w:p>
        </w:tc>
        <w:tc>
          <w:tcPr>
            <w:tcW w:w="2400"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jc w:val="center"/>
              <w:textAlignment w:val="bottom"/>
              <w:rPr>
                <w:rFonts w:eastAsia="Times New Roman" w:cs="Arial"/>
              </w:rPr>
            </w:pPr>
            <w:r w:rsidRPr="00A957EC">
              <w:rPr>
                <w:rFonts w:eastAsia="Times New Roman" w:cs="Arial"/>
                <w:bCs/>
                <w:kern w:val="24"/>
              </w:rPr>
              <w:t>4</w:t>
            </w:r>
          </w:p>
        </w:tc>
      </w:tr>
      <w:tr w:rsidR="000C5A52" w:rsidRPr="00A957EC" w:rsidTr="005A0025">
        <w:trPr>
          <w:trHeight w:val="311"/>
          <w:jc w:val="center"/>
        </w:trPr>
        <w:tc>
          <w:tcPr>
            <w:tcW w:w="2133"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textAlignment w:val="bottom"/>
              <w:rPr>
                <w:rFonts w:eastAsia="Times New Roman" w:cs="Arial"/>
              </w:rPr>
            </w:pPr>
            <w:r w:rsidRPr="00A957EC">
              <w:rPr>
                <w:rFonts w:eastAsia="Times New Roman" w:cs="Arial"/>
                <w:bCs/>
                <w:kern w:val="24"/>
              </w:rPr>
              <w:t>Denominatore**</w:t>
            </w:r>
          </w:p>
        </w:tc>
        <w:tc>
          <w:tcPr>
            <w:tcW w:w="2540"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jc w:val="center"/>
              <w:textAlignment w:val="bottom"/>
              <w:rPr>
                <w:rFonts w:eastAsia="Times New Roman" w:cs="Arial"/>
              </w:rPr>
            </w:pPr>
            <w:r w:rsidRPr="00A957EC">
              <w:rPr>
                <w:rFonts w:eastAsia="Times New Roman" w:cs="Arial"/>
                <w:bCs/>
                <w:kern w:val="24"/>
              </w:rPr>
              <w:t>38.491</w:t>
            </w:r>
          </w:p>
        </w:tc>
        <w:tc>
          <w:tcPr>
            <w:tcW w:w="2400"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jc w:val="center"/>
              <w:textAlignment w:val="bottom"/>
              <w:rPr>
                <w:rFonts w:eastAsia="Times New Roman" w:cs="Arial"/>
              </w:rPr>
            </w:pPr>
            <w:r w:rsidRPr="00A957EC">
              <w:rPr>
                <w:rFonts w:eastAsia="Times New Roman" w:cs="Arial"/>
                <w:bCs/>
                <w:kern w:val="24"/>
              </w:rPr>
              <w:t>31.616</w:t>
            </w:r>
          </w:p>
        </w:tc>
      </w:tr>
      <w:tr w:rsidR="00982079" w:rsidRPr="00A957EC" w:rsidTr="005A0025">
        <w:trPr>
          <w:trHeight w:val="311"/>
          <w:jc w:val="center"/>
        </w:trPr>
        <w:tc>
          <w:tcPr>
            <w:tcW w:w="2133"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textAlignment w:val="bottom"/>
              <w:rPr>
                <w:rFonts w:eastAsia="Times New Roman" w:cs="Arial"/>
              </w:rPr>
            </w:pPr>
            <w:r w:rsidRPr="00A957EC">
              <w:rPr>
                <w:rFonts w:eastAsia="Times New Roman" w:cs="Arial"/>
                <w:bCs/>
                <w:kern w:val="24"/>
              </w:rPr>
              <w:t>Tasso x100.000</w:t>
            </w:r>
          </w:p>
        </w:tc>
        <w:tc>
          <w:tcPr>
            <w:tcW w:w="2540"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jc w:val="center"/>
              <w:textAlignment w:val="bottom"/>
              <w:rPr>
                <w:rFonts w:eastAsia="Times New Roman" w:cs="Arial"/>
              </w:rPr>
            </w:pPr>
            <w:r w:rsidRPr="00A957EC">
              <w:rPr>
                <w:rFonts w:eastAsia="Times New Roman" w:cs="Arial"/>
                <w:bCs/>
                <w:kern w:val="24"/>
              </w:rPr>
              <w:t>10,39</w:t>
            </w:r>
          </w:p>
        </w:tc>
        <w:tc>
          <w:tcPr>
            <w:tcW w:w="2400" w:type="dxa"/>
            <w:tcBorders>
              <w:top w:val="nil"/>
              <w:left w:val="nil"/>
              <w:bottom w:val="nil"/>
              <w:right w:val="nil"/>
            </w:tcBorders>
            <w:shd w:val="clear" w:color="auto" w:fill="auto"/>
            <w:tcMar>
              <w:top w:w="15" w:type="dxa"/>
              <w:left w:w="15" w:type="dxa"/>
              <w:bottom w:w="0" w:type="dxa"/>
              <w:right w:w="15" w:type="dxa"/>
            </w:tcMar>
            <w:vAlign w:val="bottom"/>
            <w:hideMark/>
          </w:tcPr>
          <w:p w:rsidR="00982079" w:rsidRPr="00A957EC" w:rsidRDefault="00982079" w:rsidP="00982079">
            <w:pPr>
              <w:spacing w:after="0"/>
              <w:jc w:val="center"/>
              <w:textAlignment w:val="bottom"/>
              <w:rPr>
                <w:rFonts w:eastAsia="Times New Roman" w:cs="Arial"/>
              </w:rPr>
            </w:pPr>
            <w:r w:rsidRPr="00A957EC">
              <w:rPr>
                <w:rFonts w:eastAsia="Times New Roman" w:cs="Arial"/>
                <w:bCs/>
                <w:kern w:val="24"/>
              </w:rPr>
              <w:t>12,65</w:t>
            </w:r>
          </w:p>
        </w:tc>
      </w:tr>
    </w:tbl>
    <w:p w:rsidR="00982079" w:rsidRPr="000C5A52" w:rsidRDefault="00982079" w:rsidP="00982079">
      <w:pPr>
        <w:spacing w:after="0"/>
        <w:rPr>
          <w:b/>
          <w:bCs/>
          <w:color w:val="FF0000"/>
          <w:kern w:val="24"/>
          <w:sz w:val="18"/>
          <w:szCs w:val="18"/>
        </w:rPr>
      </w:pPr>
    </w:p>
    <w:p w:rsidR="00982079" w:rsidRPr="00A957EC" w:rsidRDefault="00982079" w:rsidP="00982079">
      <w:pPr>
        <w:spacing w:after="0"/>
        <w:rPr>
          <w:rFonts w:eastAsia="Times New Roman" w:cs="Times New Roman"/>
          <w:sz w:val="18"/>
          <w:szCs w:val="18"/>
        </w:rPr>
      </w:pPr>
      <w:r w:rsidRPr="00A957EC">
        <w:rPr>
          <w:b/>
          <w:bCs/>
          <w:kern w:val="24"/>
          <w:sz w:val="18"/>
          <w:szCs w:val="18"/>
        </w:rPr>
        <w:t>*N° di decessi per cause dirette entro 42 gg dall’evento ostetrico</w:t>
      </w:r>
    </w:p>
    <w:p w:rsidR="00982079" w:rsidRPr="00A957EC" w:rsidRDefault="00982079" w:rsidP="00982079">
      <w:pPr>
        <w:spacing w:after="0"/>
        <w:rPr>
          <w:rFonts w:eastAsia="Times New Roman" w:cs="Times New Roman"/>
          <w:sz w:val="18"/>
          <w:szCs w:val="18"/>
        </w:rPr>
      </w:pPr>
      <w:r w:rsidRPr="00A957EC">
        <w:rPr>
          <w:b/>
          <w:bCs/>
          <w:kern w:val="24"/>
          <w:sz w:val="18"/>
          <w:szCs w:val="18"/>
        </w:rPr>
        <w:t>**N° nati vivi nel periodo</w:t>
      </w:r>
    </w:p>
    <w:p w:rsidR="00982079" w:rsidRPr="00A957EC" w:rsidRDefault="00982079" w:rsidP="00982079">
      <w:pPr>
        <w:rPr>
          <w:rStyle w:val="st1"/>
          <w:rFonts w:asciiTheme="majorHAnsi" w:hAnsiTheme="majorHAnsi" w:cs="Arial"/>
        </w:rPr>
      </w:pPr>
    </w:p>
    <w:p w:rsidR="00B136B2" w:rsidRDefault="00B136B2" w:rsidP="00982079">
      <w:pPr>
        <w:spacing w:after="0"/>
        <w:rPr>
          <w:rStyle w:val="st1"/>
          <w:rFonts w:cs="Arial"/>
          <w:b/>
        </w:rPr>
      </w:pPr>
    </w:p>
    <w:p w:rsidR="00982079" w:rsidRPr="00251E52" w:rsidRDefault="00982079" w:rsidP="00982079">
      <w:pPr>
        <w:spacing w:after="0"/>
        <w:rPr>
          <w:rStyle w:val="st1"/>
          <w:rFonts w:cs="Arial"/>
          <w:b/>
        </w:rPr>
      </w:pPr>
      <w:r w:rsidRPr="00251E52">
        <w:rPr>
          <w:rStyle w:val="st1"/>
          <w:rFonts w:cs="Arial"/>
          <w:b/>
        </w:rPr>
        <w:lastRenderedPageBreak/>
        <w:t>Il neonato</w:t>
      </w:r>
    </w:p>
    <w:p w:rsidR="00982079" w:rsidRPr="00251E52" w:rsidRDefault="00982079" w:rsidP="00982079">
      <w:pPr>
        <w:spacing w:after="0"/>
        <w:jc w:val="both"/>
        <w:rPr>
          <w:rStyle w:val="st1"/>
          <w:rFonts w:cs="Arial"/>
        </w:rPr>
      </w:pPr>
      <w:r w:rsidRPr="00251E52">
        <w:rPr>
          <w:rStyle w:val="st1"/>
          <w:rFonts w:cs="Arial"/>
        </w:rPr>
        <w:t xml:space="preserve">Si sono valutati gli </w:t>
      </w:r>
      <w:r w:rsidRPr="00251E52">
        <w:rPr>
          <w:rStyle w:val="st1"/>
          <w:rFonts w:cs="Arial"/>
          <w:i/>
        </w:rPr>
        <w:t>outcome</w:t>
      </w:r>
      <w:r w:rsidRPr="00251E52">
        <w:rPr>
          <w:rStyle w:val="st1"/>
          <w:rFonts w:cs="Arial"/>
        </w:rPr>
        <w:t xml:space="preserve"> sfavorevoli  per il neonato espressi come punteggio Apgar &lt;7 al 5° minuto e peso alla nascita  &lt;2500 e &lt;1500 grammi. La successiva disaggregazione per nazionalità della madre ha offerto spunto per rilevare differenze tra i due target.</w:t>
      </w:r>
    </w:p>
    <w:p w:rsidR="00982079" w:rsidRPr="00251E52" w:rsidRDefault="00982079" w:rsidP="00251E52">
      <w:pPr>
        <w:spacing w:after="0"/>
        <w:jc w:val="both"/>
        <w:rPr>
          <w:rStyle w:val="st1"/>
          <w:rFonts w:cs="Arial"/>
        </w:rPr>
      </w:pPr>
      <w:r w:rsidRPr="00251E52">
        <w:rPr>
          <w:rStyle w:val="st1"/>
          <w:rFonts w:cs="Arial"/>
        </w:rPr>
        <w:t xml:space="preserve">Esprimendo ancora il confronto tra tassi di Mantova e Cremona in termini di OR, quest’ultimo  risulta  abbastanza omogeneo per quanto attiene al basso punteggio Apgar essendo simili i tassi  percentuali. Nella disaggregazione per nazionalità emerge però un rischio doppio per i neonati </w:t>
      </w:r>
      <w:r w:rsidR="00251E52" w:rsidRPr="00251E52">
        <w:rPr>
          <w:rStyle w:val="st1"/>
          <w:rFonts w:cs="Arial"/>
        </w:rPr>
        <w:t xml:space="preserve">stranieri </w:t>
      </w:r>
      <w:r w:rsidRPr="00251E52">
        <w:rPr>
          <w:rStyle w:val="st1"/>
          <w:rFonts w:cs="Arial"/>
        </w:rPr>
        <w:t>di Cremona di ottenere un Apgar score &lt;7 a</w:t>
      </w:r>
      <w:r w:rsidR="00251E52">
        <w:rPr>
          <w:rStyle w:val="st1"/>
          <w:rFonts w:cs="Arial"/>
        </w:rPr>
        <w:t>l 5° minuto di vita (OR= 2,05).</w:t>
      </w:r>
    </w:p>
    <w:p w:rsidR="00982079" w:rsidRPr="00C06553" w:rsidRDefault="00982079" w:rsidP="00982079">
      <w:pPr>
        <w:rPr>
          <w:rStyle w:val="st1"/>
          <w:rFonts w:asciiTheme="majorHAnsi" w:hAnsiTheme="majorHAnsi" w:cs="Arial"/>
          <w:color w:val="000000" w:themeColor="text1"/>
        </w:rPr>
      </w:pPr>
      <w:r w:rsidRPr="00C06553">
        <w:rPr>
          <w:rFonts w:asciiTheme="majorHAnsi" w:hAnsiTheme="majorHAnsi" w:cs="Arial"/>
          <w:noProof/>
          <w:color w:val="000000" w:themeColor="text1"/>
          <w:lang w:eastAsia="it-IT"/>
        </w:rPr>
        <w:drawing>
          <wp:inline distT="0" distB="0" distL="0" distR="0" wp14:anchorId="5146C5CB" wp14:editId="231ED144">
            <wp:extent cx="3048000" cy="1800225"/>
            <wp:effectExtent l="0" t="0" r="0" b="0"/>
            <wp:docPr id="178" name="Grafico 17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Pr="00C06553">
        <w:rPr>
          <w:rFonts w:asciiTheme="majorHAnsi" w:hAnsiTheme="majorHAnsi" w:cs="Arial"/>
          <w:noProof/>
          <w:color w:val="000000" w:themeColor="text1"/>
          <w:lang w:eastAsia="it-IT"/>
        </w:rPr>
        <w:drawing>
          <wp:inline distT="0" distB="0" distL="0" distR="0" wp14:anchorId="704EF358" wp14:editId="1FDA686A">
            <wp:extent cx="2981325" cy="1685925"/>
            <wp:effectExtent l="0" t="0" r="0" b="0"/>
            <wp:docPr id="179" name="Grafico 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982079" w:rsidRPr="00251E52" w:rsidRDefault="00982079" w:rsidP="00982079">
      <w:pPr>
        <w:spacing w:after="0"/>
        <w:jc w:val="both"/>
        <w:rPr>
          <w:rStyle w:val="st1"/>
          <w:rFonts w:cs="Arial"/>
        </w:rPr>
      </w:pPr>
      <w:r w:rsidRPr="00251E52">
        <w:rPr>
          <w:rStyle w:val="st1"/>
          <w:rFonts w:cs="Arial"/>
        </w:rPr>
        <w:t xml:space="preserve">Anche per il peso alla nascita non si rilevano differenze importanti tra le due </w:t>
      </w:r>
      <w:r w:rsidR="00251E52">
        <w:rPr>
          <w:rStyle w:val="st1"/>
          <w:rFonts w:cs="Arial"/>
        </w:rPr>
        <w:t>province</w:t>
      </w:r>
      <w:r w:rsidRPr="00251E52">
        <w:rPr>
          <w:rStyle w:val="st1"/>
          <w:rFonts w:cs="Arial"/>
        </w:rPr>
        <w:t xml:space="preserve"> di Mantova e Cremona; le percentuali di neonati piccoli e molto piccoli sono simili tra le due provincie. </w:t>
      </w:r>
    </w:p>
    <w:p w:rsidR="00982079" w:rsidRPr="00251E52" w:rsidRDefault="00982079" w:rsidP="00982079">
      <w:pPr>
        <w:spacing w:after="0"/>
        <w:jc w:val="both"/>
        <w:rPr>
          <w:rStyle w:val="st1"/>
          <w:rFonts w:cs="Arial"/>
        </w:rPr>
      </w:pPr>
      <w:r w:rsidRPr="00251E52">
        <w:rPr>
          <w:rStyle w:val="st1"/>
          <w:rFonts w:cs="Arial"/>
        </w:rPr>
        <w:t>La disaggregazione per nazionalità della madre mostra però chiaramente come l’essere straniera costituisca un rischio quasi triplo di incorrere in questo esito sfavorevole, che si osserva trasformando i tassi percentuali nei rispettivi OR in grado di meglio esprimere la differenza:  OR =2,98 a Cremona e OR= 2,70 a Mantova.</w:t>
      </w:r>
    </w:p>
    <w:p w:rsidR="00982079" w:rsidRPr="00C06553" w:rsidRDefault="00982079" w:rsidP="00982079">
      <w:pPr>
        <w:rPr>
          <w:rStyle w:val="st1"/>
          <w:rFonts w:asciiTheme="majorHAnsi" w:hAnsiTheme="majorHAnsi" w:cs="Arial"/>
          <w:color w:val="000000" w:themeColor="text1"/>
        </w:rPr>
      </w:pPr>
      <w:r w:rsidRPr="00C06553">
        <w:rPr>
          <w:rFonts w:asciiTheme="majorHAnsi" w:hAnsiTheme="majorHAnsi" w:cs="Arial"/>
          <w:noProof/>
          <w:color w:val="000000" w:themeColor="text1"/>
          <w:lang w:eastAsia="it-IT"/>
        </w:rPr>
        <w:drawing>
          <wp:inline distT="0" distB="0" distL="0" distR="0" wp14:anchorId="18E45E23" wp14:editId="0BFC1DF7">
            <wp:extent cx="3200400" cy="1562100"/>
            <wp:effectExtent l="0" t="0" r="0" b="0"/>
            <wp:docPr id="180" name="Grafico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r w:rsidRPr="00C06553">
        <w:rPr>
          <w:rFonts w:asciiTheme="majorHAnsi" w:hAnsiTheme="majorHAnsi" w:cs="Arial"/>
          <w:noProof/>
          <w:color w:val="000000" w:themeColor="text1"/>
          <w:lang w:eastAsia="it-IT"/>
        </w:rPr>
        <w:drawing>
          <wp:inline distT="0" distB="0" distL="0" distR="0" wp14:anchorId="62163783" wp14:editId="095C91EE">
            <wp:extent cx="2809875" cy="1771650"/>
            <wp:effectExtent l="0" t="0" r="0" b="0"/>
            <wp:docPr id="181" name="Grafico 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982079" w:rsidRPr="00251E52" w:rsidRDefault="00982079" w:rsidP="00982079">
      <w:pPr>
        <w:spacing w:after="0"/>
        <w:jc w:val="both"/>
        <w:rPr>
          <w:rStyle w:val="st1"/>
          <w:rFonts w:cs="Arial"/>
        </w:rPr>
      </w:pPr>
      <w:r w:rsidRPr="00251E52">
        <w:rPr>
          <w:rStyle w:val="st1"/>
          <w:rFonts w:cs="Arial"/>
        </w:rPr>
        <w:t xml:space="preserve">Il basso peso alla nascita costituisce un importante problema di sanità pubblica in quanto comporta esiti rilevanti nei primi anni di vita del bambino in termini di consumi sanitari intesi come accessi ai Servizi e quindi bisogno sanitario espresso. Nella figura che segue sono illustrati i consumi di ricoveri, prestazioni ambulatoriali e farmaci, tradotti in valore di Euro al solo scopo di consentirne una sommatoria, relativamente ad una coorte di nati nel 2011 seguiti nel primo e nel secondo anno di vita, al netto dell’anno di nascita non considerato per l’intera coorte. </w:t>
      </w:r>
    </w:p>
    <w:p w:rsidR="00982079" w:rsidRPr="00251E52" w:rsidRDefault="00982079" w:rsidP="00982079">
      <w:pPr>
        <w:spacing w:after="0"/>
        <w:jc w:val="both"/>
        <w:rPr>
          <w:rStyle w:val="st1"/>
          <w:rFonts w:cs="Arial"/>
        </w:rPr>
      </w:pPr>
      <w:r w:rsidRPr="00251E52">
        <w:rPr>
          <w:rStyle w:val="st1"/>
          <w:rFonts w:cs="Arial"/>
        </w:rPr>
        <w:t>È evidente il gradiente di spesa, e quindi di bisogno assistenziale, che sussiste tra nato normo-peso e nato molto piccolo e che produce una spesa nel primo anno maggiorata di 30 volte per i farmaci, di 5 volte per le prestazioni ambulatoriali e di 130 volte per i ricoveri. Un divario veramente notevole che da una parte pesa il bisogno assistenziale e dall’altra sottolinea per le attività di assistenza alla gravidanza dei Consultori Familiari la necessità di un rinforzo delle azioni preventive rivolte al controllo di questa condizione tanto sfavorevole.</w:t>
      </w:r>
    </w:p>
    <w:p w:rsidR="004B1F45" w:rsidRDefault="004B1F45" w:rsidP="00982079">
      <w:pPr>
        <w:spacing w:after="0"/>
        <w:jc w:val="both"/>
        <w:rPr>
          <w:rStyle w:val="st1"/>
          <w:rFonts w:cs="Arial"/>
          <w:color w:val="000000" w:themeColor="text1"/>
        </w:rPr>
      </w:pPr>
    </w:p>
    <w:p w:rsidR="005A0025" w:rsidRPr="00982079" w:rsidRDefault="004B1F45" w:rsidP="00982079">
      <w:pPr>
        <w:spacing w:after="0"/>
        <w:jc w:val="both"/>
        <w:rPr>
          <w:rStyle w:val="st1"/>
          <w:rFonts w:cs="Arial"/>
          <w:color w:val="000000" w:themeColor="text1"/>
        </w:rPr>
      </w:pPr>
      <w:r>
        <w:rPr>
          <w:rFonts w:asciiTheme="majorHAnsi" w:hAnsiTheme="majorHAnsi" w:cs="Arial"/>
          <w:noProof/>
          <w:color w:val="000000" w:themeColor="text1"/>
          <w:lang w:eastAsia="it-IT"/>
        </w:rPr>
        <w:drawing>
          <wp:inline distT="0" distB="0" distL="0" distR="0" wp14:anchorId="3F571C2C" wp14:editId="0BE08D1E">
            <wp:extent cx="961911" cy="781050"/>
            <wp:effectExtent l="0" t="0" r="0" b="0"/>
            <wp:docPr id="191" name="Immagin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67676" cy="785731"/>
                    </a:xfrm>
                    <a:prstGeom prst="rect">
                      <a:avLst/>
                    </a:prstGeom>
                    <a:noFill/>
                  </pic:spPr>
                </pic:pic>
              </a:graphicData>
            </a:graphic>
          </wp:inline>
        </w:drawing>
      </w:r>
      <w:r>
        <w:rPr>
          <w:rStyle w:val="st1"/>
          <w:rFonts w:cs="Arial"/>
          <w:color w:val="000000" w:themeColor="text1"/>
        </w:rPr>
        <w:t xml:space="preserve">                                                                     </w:t>
      </w:r>
      <w:r w:rsidR="005A0025">
        <w:rPr>
          <w:rFonts w:cs="Arial"/>
          <w:noProof/>
          <w:color w:val="000000" w:themeColor="text1"/>
          <w:lang w:eastAsia="it-IT"/>
        </w:rPr>
        <w:drawing>
          <wp:inline distT="0" distB="0" distL="0" distR="0" wp14:anchorId="4092762A" wp14:editId="4DCC00EC">
            <wp:extent cx="2819400" cy="1744260"/>
            <wp:effectExtent l="0" t="0" r="0" b="8890"/>
            <wp:docPr id="187" name="Immagin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19400" cy="1744260"/>
                    </a:xfrm>
                    <a:prstGeom prst="rect">
                      <a:avLst/>
                    </a:prstGeom>
                    <a:noFill/>
                  </pic:spPr>
                </pic:pic>
              </a:graphicData>
            </a:graphic>
          </wp:inline>
        </w:drawing>
      </w:r>
    </w:p>
    <w:p w:rsidR="00982079" w:rsidRPr="00982079" w:rsidRDefault="00982079" w:rsidP="00982079">
      <w:pPr>
        <w:spacing w:after="0"/>
        <w:rPr>
          <w:rStyle w:val="st1"/>
          <w:rFonts w:cs="Arial"/>
          <w:color w:val="000000" w:themeColor="text1"/>
        </w:rPr>
      </w:pPr>
    </w:p>
    <w:p w:rsidR="00982079" w:rsidRPr="00C06553" w:rsidRDefault="005A0025" w:rsidP="00982079">
      <w:pPr>
        <w:rPr>
          <w:rStyle w:val="st1"/>
          <w:rFonts w:asciiTheme="majorHAnsi" w:hAnsiTheme="majorHAnsi" w:cs="Arial"/>
          <w:color w:val="000000" w:themeColor="text1"/>
        </w:rPr>
      </w:pPr>
      <w:r>
        <w:rPr>
          <w:rFonts w:asciiTheme="majorHAnsi" w:hAnsiTheme="majorHAnsi" w:cs="Arial"/>
          <w:noProof/>
          <w:color w:val="000000" w:themeColor="text1"/>
          <w:lang w:eastAsia="it-IT"/>
        </w:rPr>
        <w:drawing>
          <wp:inline distT="0" distB="0" distL="0" distR="0" wp14:anchorId="264C4B82" wp14:editId="57F971AC">
            <wp:extent cx="2990850" cy="1993623"/>
            <wp:effectExtent l="0" t="0" r="0" b="0"/>
            <wp:docPr id="190" name="Immagin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998789" cy="1998915"/>
                    </a:xfrm>
                    <a:prstGeom prst="rect">
                      <a:avLst/>
                    </a:prstGeom>
                    <a:noFill/>
                  </pic:spPr>
                </pic:pic>
              </a:graphicData>
            </a:graphic>
          </wp:inline>
        </w:drawing>
      </w:r>
      <w:r w:rsidR="004B1F45">
        <w:rPr>
          <w:rFonts w:asciiTheme="majorHAnsi" w:hAnsiTheme="majorHAnsi" w:cs="Arial"/>
          <w:noProof/>
          <w:color w:val="000000" w:themeColor="text1"/>
          <w:lang w:eastAsia="it-IT"/>
        </w:rPr>
        <w:drawing>
          <wp:inline distT="0" distB="0" distL="0" distR="0" wp14:anchorId="178ABD36" wp14:editId="40897F68">
            <wp:extent cx="2981325" cy="1835654"/>
            <wp:effectExtent l="0" t="0" r="0" b="0"/>
            <wp:docPr id="672" name="Immagin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90573" cy="1841348"/>
                    </a:xfrm>
                    <a:prstGeom prst="rect">
                      <a:avLst/>
                    </a:prstGeom>
                    <a:noFill/>
                  </pic:spPr>
                </pic:pic>
              </a:graphicData>
            </a:graphic>
          </wp:inline>
        </w:drawing>
      </w:r>
    </w:p>
    <w:p w:rsidR="00982079" w:rsidRPr="00251E52" w:rsidRDefault="00251E52" w:rsidP="00982079">
      <w:pPr>
        <w:spacing w:after="0"/>
        <w:jc w:val="both"/>
        <w:rPr>
          <w:rStyle w:val="st1"/>
          <w:rFonts w:cs="Arial"/>
        </w:rPr>
      </w:pPr>
      <w:r w:rsidRPr="00251E52">
        <w:rPr>
          <w:rStyle w:val="st1"/>
          <w:rFonts w:cs="Arial"/>
        </w:rPr>
        <w:t xml:space="preserve">È </w:t>
      </w:r>
      <w:r w:rsidR="00982079" w:rsidRPr="00251E52">
        <w:rPr>
          <w:rStyle w:val="st1"/>
          <w:rFonts w:cs="Arial"/>
        </w:rPr>
        <w:t xml:space="preserve"> stato rilevato il tasso di allattamento al seno esclusivo registrato fino alla 4° visita pediatrica (8° mese di vita del bambino) attraverso l’analisi dei bilanci di salute compilati dai pediatri di famiglia. Un vero e proprio tesoro d’informazioni per monitoraggi prospettici ad ampio raggio che purtroppo non si è ancora riusciti a trasformare in flusso informativo corrente, che per altro si porrebbe in alternativa a molte ed onerose puntuali rilevazioni ad hoc.</w:t>
      </w:r>
    </w:p>
    <w:p w:rsidR="00982079" w:rsidRPr="00251E52" w:rsidRDefault="00982079" w:rsidP="00982079">
      <w:pPr>
        <w:spacing w:after="0"/>
        <w:jc w:val="both"/>
        <w:rPr>
          <w:rStyle w:val="st1"/>
          <w:rFonts w:cs="Arial"/>
        </w:rPr>
      </w:pPr>
      <w:r w:rsidRPr="00251E52">
        <w:rPr>
          <w:rStyle w:val="st1"/>
          <w:rFonts w:cs="Arial"/>
        </w:rPr>
        <w:t>È ormai pacifica l’importanza di un allattamento esclusivo al seno almeno fino al 6° mese di vita, pratica benefica non solo per la salute e il benessere del neonato e della madre nell’immediato, ma anche come azione preventiva di dimostrata efficacia per patologie in età infantile ed adulta, quali allegrie alimentari, asma, atopie, sovrappeso e obesità. Consolidati sono pure gli effetti benefici dell’allattamento al seno per lo sviluppo psico-motorio in quanto favorente una corretta relazione madre-bambino.</w:t>
      </w:r>
    </w:p>
    <w:p w:rsidR="00982079" w:rsidRPr="00251E52" w:rsidRDefault="00982079" w:rsidP="00982079">
      <w:pPr>
        <w:spacing w:after="0"/>
        <w:jc w:val="both"/>
        <w:rPr>
          <w:rStyle w:val="st1"/>
          <w:rFonts w:cs="Arial"/>
        </w:rPr>
      </w:pPr>
      <w:r w:rsidRPr="00251E52">
        <w:rPr>
          <w:rStyle w:val="st1"/>
          <w:rFonts w:cs="Arial"/>
        </w:rPr>
        <w:t xml:space="preserve">Anche in questo caso la disaggregazione per nazionalità ha offerto lo spunto per rilevare sia differenze di target che fattori favorenti per la continuazione dell’allattamento materno. </w:t>
      </w:r>
    </w:p>
    <w:p w:rsidR="00982079" w:rsidRPr="00251E52" w:rsidRDefault="00982079" w:rsidP="00982079">
      <w:pPr>
        <w:spacing w:after="0"/>
        <w:jc w:val="both"/>
        <w:rPr>
          <w:rStyle w:val="st1"/>
          <w:rFonts w:cs="Arial"/>
        </w:rPr>
      </w:pPr>
      <w:r w:rsidRPr="00251E52">
        <w:rPr>
          <w:rStyle w:val="st1"/>
          <w:rFonts w:cs="Arial"/>
        </w:rPr>
        <w:t>La nazionalità straniera in questo solo caso risulta un fattore protettivo (OR=1,99), mentre la più alta scolarità si conferma ancora una volta nel proprio ruolo di promotore di migliori condizioni di salute (OR=1,46).</w:t>
      </w:r>
    </w:p>
    <w:p w:rsidR="00982079" w:rsidRDefault="00982079" w:rsidP="00982079">
      <w:pPr>
        <w:jc w:val="both"/>
        <w:rPr>
          <w:rStyle w:val="st1"/>
          <w:rFonts w:asciiTheme="majorHAnsi" w:hAnsiTheme="majorHAnsi" w:cs="Arial"/>
          <w:color w:val="000000" w:themeColor="text1"/>
        </w:rPr>
      </w:pPr>
    </w:p>
    <w:p w:rsidR="00982079" w:rsidRPr="00C06553" w:rsidRDefault="00982079" w:rsidP="00982079">
      <w:pPr>
        <w:jc w:val="center"/>
        <w:rPr>
          <w:rStyle w:val="st1"/>
          <w:rFonts w:asciiTheme="majorHAnsi" w:hAnsiTheme="majorHAnsi" w:cs="Arial"/>
          <w:color w:val="000000" w:themeColor="text1"/>
        </w:rPr>
      </w:pPr>
      <w:r w:rsidRPr="00C06553">
        <w:rPr>
          <w:rFonts w:asciiTheme="majorHAnsi" w:hAnsiTheme="majorHAnsi" w:cs="Arial"/>
          <w:noProof/>
          <w:color w:val="000000" w:themeColor="text1"/>
          <w:lang w:eastAsia="it-IT"/>
        </w:rPr>
        <w:lastRenderedPageBreak/>
        <w:drawing>
          <wp:inline distT="0" distB="0" distL="0" distR="0" wp14:anchorId="75E99ADC" wp14:editId="1DE6E136">
            <wp:extent cx="5895975" cy="2400300"/>
            <wp:effectExtent l="0" t="0" r="9525" b="19050"/>
            <wp:docPr id="183" name="Grafico 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982079" w:rsidRPr="007F33B7" w:rsidRDefault="00982079" w:rsidP="00982079">
      <w:pPr>
        <w:spacing w:after="0"/>
        <w:jc w:val="both"/>
        <w:rPr>
          <w:rStyle w:val="st1"/>
          <w:rFonts w:cs="Arial"/>
        </w:rPr>
      </w:pPr>
      <w:r w:rsidRPr="007F33B7">
        <w:rPr>
          <w:rStyle w:val="st1"/>
          <w:rFonts w:cs="Arial"/>
        </w:rPr>
        <w:t>Attraverso la</w:t>
      </w:r>
      <w:r w:rsidR="007F33B7" w:rsidRPr="007F33B7">
        <w:rPr>
          <w:rStyle w:val="st1"/>
          <w:rFonts w:cs="Arial"/>
        </w:rPr>
        <w:t xml:space="preserve"> stessa</w:t>
      </w:r>
      <w:r w:rsidRPr="007F33B7">
        <w:rPr>
          <w:rStyle w:val="st1"/>
          <w:rFonts w:cs="Arial"/>
        </w:rPr>
        <w:t xml:space="preserve"> coorte dei nati nel 2011, ristretta ovviamente ai soli nati normo-peso, è stato possibile stimare il vantaggio di salute per i bambini allattati al seno al 4° bilancio, circa 8° mese di vita, nel confronto con quelli allattati con latte artificiale.</w:t>
      </w:r>
    </w:p>
    <w:p w:rsidR="00982079" w:rsidRPr="007F33B7" w:rsidRDefault="00982079" w:rsidP="00982079">
      <w:pPr>
        <w:spacing w:after="0"/>
        <w:jc w:val="both"/>
        <w:rPr>
          <w:rStyle w:val="st1"/>
          <w:rFonts w:cs="Arial"/>
        </w:rPr>
      </w:pPr>
      <w:r w:rsidRPr="007F33B7">
        <w:rPr>
          <w:rStyle w:val="st1"/>
          <w:rFonts w:cs="Arial"/>
        </w:rPr>
        <w:t xml:space="preserve">Per tutti i bambini della coorte si sono misurati i consumi sanitari di farmaci e prestazioni ambulatoriali che sono apparsi più elevati nei bambini alimentati con latte artificiale.  </w:t>
      </w:r>
    </w:p>
    <w:p w:rsidR="00330E3C" w:rsidRDefault="00330E3C" w:rsidP="00982079">
      <w:pPr>
        <w:spacing w:after="0"/>
        <w:jc w:val="both"/>
        <w:rPr>
          <w:rStyle w:val="st1"/>
          <w:rFonts w:cs="Arial"/>
          <w:color w:val="000000" w:themeColor="text1"/>
        </w:rPr>
      </w:pPr>
    </w:p>
    <w:p w:rsidR="00330E3C" w:rsidRDefault="00330E3C" w:rsidP="00982079">
      <w:pPr>
        <w:spacing w:after="0"/>
        <w:jc w:val="both"/>
        <w:rPr>
          <w:rStyle w:val="st1"/>
          <w:rFonts w:cs="Arial"/>
          <w:color w:val="000000" w:themeColor="text1"/>
        </w:rPr>
      </w:pPr>
      <w:r>
        <w:rPr>
          <w:rFonts w:cs="Arial"/>
          <w:noProof/>
          <w:color w:val="000000" w:themeColor="text1"/>
          <w:lang w:eastAsia="it-IT"/>
        </w:rPr>
        <w:drawing>
          <wp:inline distT="0" distB="0" distL="0" distR="0" wp14:anchorId="3D5A8EB0" wp14:editId="5620C702">
            <wp:extent cx="1171575" cy="425311"/>
            <wp:effectExtent l="0" t="0" r="0" b="0"/>
            <wp:docPr id="684" name="Immagin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75330" cy="426674"/>
                    </a:xfrm>
                    <a:prstGeom prst="rect">
                      <a:avLst/>
                    </a:prstGeom>
                    <a:noFill/>
                  </pic:spPr>
                </pic:pic>
              </a:graphicData>
            </a:graphic>
          </wp:inline>
        </w:drawing>
      </w:r>
    </w:p>
    <w:p w:rsidR="00330E3C" w:rsidRDefault="00330E3C" w:rsidP="00982079">
      <w:pPr>
        <w:spacing w:after="0"/>
        <w:jc w:val="both"/>
        <w:rPr>
          <w:rStyle w:val="st1"/>
          <w:rFonts w:cs="Arial"/>
          <w:color w:val="000000" w:themeColor="text1"/>
        </w:rPr>
      </w:pPr>
    </w:p>
    <w:p w:rsidR="00330E3C" w:rsidRDefault="00330E3C" w:rsidP="00982079">
      <w:pPr>
        <w:spacing w:after="0"/>
        <w:jc w:val="both"/>
        <w:rPr>
          <w:rStyle w:val="st1"/>
          <w:rFonts w:cs="Arial"/>
          <w:color w:val="000000" w:themeColor="text1"/>
        </w:rPr>
      </w:pPr>
      <w:r>
        <w:rPr>
          <w:rFonts w:cs="Arial"/>
          <w:noProof/>
          <w:color w:val="000000" w:themeColor="text1"/>
          <w:lang w:eastAsia="it-IT"/>
        </w:rPr>
        <w:drawing>
          <wp:inline distT="0" distB="0" distL="0" distR="0" wp14:anchorId="427F8619" wp14:editId="314835EA">
            <wp:extent cx="2895600" cy="1982814"/>
            <wp:effectExtent l="0" t="0" r="0" b="0"/>
            <wp:docPr id="675" name="Immagin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92938" cy="1980991"/>
                    </a:xfrm>
                    <a:prstGeom prst="rect">
                      <a:avLst/>
                    </a:prstGeom>
                    <a:noFill/>
                  </pic:spPr>
                </pic:pic>
              </a:graphicData>
            </a:graphic>
          </wp:inline>
        </w:drawing>
      </w:r>
      <w:r>
        <w:rPr>
          <w:rFonts w:cs="Arial"/>
          <w:noProof/>
          <w:color w:val="000000" w:themeColor="text1"/>
          <w:lang w:eastAsia="it-IT"/>
        </w:rPr>
        <w:drawing>
          <wp:inline distT="0" distB="0" distL="0" distR="0" wp14:anchorId="3A491AC4" wp14:editId="219492FE">
            <wp:extent cx="3143250" cy="1923776"/>
            <wp:effectExtent l="0" t="0" r="0" b="0"/>
            <wp:docPr id="676" name="Immagin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42325" cy="1923210"/>
                    </a:xfrm>
                    <a:prstGeom prst="rect">
                      <a:avLst/>
                    </a:prstGeom>
                    <a:noFill/>
                  </pic:spPr>
                </pic:pic>
              </a:graphicData>
            </a:graphic>
          </wp:inline>
        </w:drawing>
      </w:r>
    </w:p>
    <w:p w:rsidR="004B1F45" w:rsidRDefault="004B1F45" w:rsidP="00982079">
      <w:pPr>
        <w:spacing w:after="0"/>
        <w:jc w:val="both"/>
        <w:rPr>
          <w:rStyle w:val="st1"/>
          <w:rFonts w:cs="Arial"/>
          <w:color w:val="000000" w:themeColor="text1"/>
        </w:rPr>
      </w:pPr>
    </w:p>
    <w:p w:rsidR="004B1F45" w:rsidRDefault="004B1F45" w:rsidP="00982079">
      <w:pPr>
        <w:spacing w:after="0"/>
        <w:jc w:val="both"/>
        <w:rPr>
          <w:rStyle w:val="st1"/>
          <w:rFonts w:cs="Arial"/>
          <w:color w:val="000000" w:themeColor="text1"/>
        </w:rPr>
      </w:pPr>
    </w:p>
    <w:p w:rsidR="004B1F45" w:rsidRPr="000C5A52" w:rsidRDefault="004B1F45" w:rsidP="00936C48">
      <w:pPr>
        <w:spacing w:after="0"/>
        <w:jc w:val="both"/>
        <w:rPr>
          <w:rStyle w:val="st1"/>
          <w:rFonts w:cs="Arial"/>
          <w:color w:val="FF0000"/>
        </w:rPr>
      </w:pPr>
    </w:p>
    <w:p w:rsidR="007F33B7" w:rsidRDefault="007F33B7" w:rsidP="00936C48">
      <w:pPr>
        <w:spacing w:after="0"/>
        <w:rPr>
          <w:rStyle w:val="st1"/>
          <w:rFonts w:cs="Arial"/>
          <w:b/>
          <w:color w:val="FF0000"/>
        </w:rPr>
      </w:pPr>
    </w:p>
    <w:p w:rsidR="007F33B7" w:rsidRDefault="007F33B7" w:rsidP="00936C48">
      <w:pPr>
        <w:spacing w:after="0"/>
        <w:rPr>
          <w:rStyle w:val="st1"/>
          <w:rFonts w:cs="Arial"/>
          <w:b/>
          <w:color w:val="FF0000"/>
        </w:rPr>
      </w:pPr>
    </w:p>
    <w:p w:rsidR="007F33B7" w:rsidRDefault="007F33B7" w:rsidP="00936C48">
      <w:pPr>
        <w:spacing w:after="0"/>
        <w:rPr>
          <w:rStyle w:val="st1"/>
          <w:rFonts w:cs="Arial"/>
          <w:b/>
          <w:color w:val="FF0000"/>
        </w:rPr>
      </w:pPr>
    </w:p>
    <w:p w:rsidR="007F33B7" w:rsidRDefault="007F33B7" w:rsidP="00936C48">
      <w:pPr>
        <w:spacing w:after="0"/>
        <w:rPr>
          <w:rStyle w:val="st1"/>
          <w:rFonts w:cs="Arial"/>
          <w:b/>
          <w:color w:val="FF0000"/>
        </w:rPr>
      </w:pPr>
    </w:p>
    <w:p w:rsidR="007F33B7" w:rsidRDefault="007F33B7" w:rsidP="00936C48">
      <w:pPr>
        <w:spacing w:after="0"/>
        <w:rPr>
          <w:rStyle w:val="st1"/>
          <w:rFonts w:cs="Arial"/>
          <w:b/>
          <w:color w:val="FF0000"/>
        </w:rPr>
      </w:pPr>
    </w:p>
    <w:p w:rsidR="007F33B7" w:rsidRDefault="007F33B7" w:rsidP="00936C48">
      <w:pPr>
        <w:spacing w:after="0"/>
        <w:rPr>
          <w:rStyle w:val="st1"/>
          <w:rFonts w:cs="Arial"/>
          <w:b/>
          <w:color w:val="FF0000"/>
        </w:rPr>
      </w:pPr>
    </w:p>
    <w:p w:rsidR="007F33B7" w:rsidRDefault="007F33B7" w:rsidP="00936C48">
      <w:pPr>
        <w:spacing w:after="0"/>
        <w:rPr>
          <w:rStyle w:val="st1"/>
          <w:rFonts w:cs="Arial"/>
          <w:b/>
          <w:color w:val="FF0000"/>
        </w:rPr>
      </w:pPr>
    </w:p>
    <w:p w:rsidR="007F33B7" w:rsidRDefault="007F33B7" w:rsidP="00936C48">
      <w:pPr>
        <w:spacing w:after="0"/>
        <w:rPr>
          <w:rStyle w:val="st1"/>
          <w:rFonts w:cs="Arial"/>
          <w:b/>
          <w:color w:val="FF0000"/>
        </w:rPr>
      </w:pPr>
    </w:p>
    <w:p w:rsidR="007F33B7" w:rsidRDefault="007F33B7" w:rsidP="00936C48">
      <w:pPr>
        <w:spacing w:after="0"/>
        <w:rPr>
          <w:rStyle w:val="st1"/>
          <w:rFonts w:cs="Arial"/>
          <w:b/>
          <w:color w:val="FF0000"/>
        </w:rPr>
      </w:pPr>
    </w:p>
    <w:p w:rsidR="007F33B7" w:rsidRDefault="007F33B7" w:rsidP="00936C48">
      <w:pPr>
        <w:spacing w:after="0"/>
        <w:rPr>
          <w:rStyle w:val="st1"/>
          <w:rFonts w:cs="Arial"/>
          <w:b/>
          <w:color w:val="FF0000"/>
        </w:rPr>
      </w:pPr>
    </w:p>
    <w:p w:rsidR="00C22168" w:rsidRPr="00C22168" w:rsidRDefault="00C22168" w:rsidP="00C22168">
      <w:pPr>
        <w:rPr>
          <w:rFonts w:cs="Arial"/>
          <w:b/>
          <w:color w:val="000000" w:themeColor="text1"/>
        </w:rPr>
      </w:pPr>
      <w:r w:rsidRPr="00C22168">
        <w:rPr>
          <w:rFonts w:cs="Arial"/>
          <w:b/>
          <w:color w:val="000000" w:themeColor="text1"/>
        </w:rPr>
        <w:lastRenderedPageBreak/>
        <w:t xml:space="preserve">DEMOGRAFIA COME IDENTIFICAZIONE </w:t>
      </w:r>
      <w:r w:rsidR="00B136B2">
        <w:rPr>
          <w:rFonts w:cs="Arial"/>
          <w:b/>
          <w:color w:val="000000" w:themeColor="text1"/>
        </w:rPr>
        <w:t xml:space="preserve">E PESATURA </w:t>
      </w:r>
      <w:r w:rsidRPr="00C22168">
        <w:rPr>
          <w:rFonts w:cs="Arial"/>
          <w:b/>
          <w:color w:val="000000" w:themeColor="text1"/>
        </w:rPr>
        <w:t>DI TARGET</w:t>
      </w:r>
    </w:p>
    <w:p w:rsidR="00C22168" w:rsidRPr="00C22168" w:rsidRDefault="00C22168" w:rsidP="00C22168">
      <w:pPr>
        <w:rPr>
          <w:rFonts w:cs="Arial"/>
          <w:b/>
          <w:color w:val="000000" w:themeColor="text1"/>
        </w:rPr>
      </w:pPr>
    </w:p>
    <w:p w:rsidR="00C22168" w:rsidRPr="00C22168" w:rsidRDefault="00C22168" w:rsidP="00C22168">
      <w:pPr>
        <w:rPr>
          <w:rFonts w:cs="Arial"/>
          <w:color w:val="000000" w:themeColor="text1"/>
        </w:rPr>
      </w:pPr>
      <w:r w:rsidRPr="00C22168">
        <w:rPr>
          <w:rFonts w:cs="Arial"/>
          <w:color w:val="000000" w:themeColor="text1"/>
        </w:rPr>
        <w:t>La ATS Val Padana, che comprende i Distretti di Mantova, Cremona e Crema, mostra una distribuzione di popolazione quantitativamente disomogenea, come emerge dall’Anagrafe Assistiti al gennaio 2016</w:t>
      </w:r>
    </w:p>
    <w:p w:rsidR="00C22168" w:rsidRPr="00C22168" w:rsidRDefault="00C22168" w:rsidP="00C22168">
      <w:pPr>
        <w:rPr>
          <w:rFonts w:cs="Arial"/>
          <w:color w:val="000000" w:themeColor="text1"/>
        </w:rPr>
      </w:pPr>
      <w:r w:rsidRPr="00C22168">
        <w:rPr>
          <w:rFonts w:cs="Arial"/>
          <w:noProof/>
          <w:color w:val="000000" w:themeColor="text1"/>
          <w:lang w:eastAsia="it-IT"/>
        </w:rPr>
        <w:drawing>
          <wp:inline distT="0" distB="0" distL="0" distR="0" wp14:anchorId="42956FBF" wp14:editId="79ECBD03">
            <wp:extent cx="3952875" cy="1828800"/>
            <wp:effectExtent l="0" t="0" r="9525" b="19050"/>
            <wp:docPr id="32" name="Gra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C22168" w:rsidRPr="00C22168" w:rsidRDefault="00C22168" w:rsidP="00C22168">
      <w:pPr>
        <w:rPr>
          <w:rFonts w:cs="Arial"/>
          <w:color w:val="000000" w:themeColor="text1"/>
        </w:rPr>
      </w:pPr>
      <w:r w:rsidRPr="00C22168">
        <w:rPr>
          <w:rFonts w:cs="Arial"/>
          <w:color w:val="000000" w:themeColor="text1"/>
        </w:rPr>
        <w:t>Molto più omogenea risulta invece la struttura per classi di età e genere della popolazione residente, confermando la tendenza, comune a tutta la regione Lombardia oltre che all’intero territorio nazionale, di una popolazione adulta/anziana ben superiore alla popolazione pediatrica/giovane.</w:t>
      </w:r>
    </w:p>
    <w:p w:rsidR="00C22168" w:rsidRPr="00C22168" w:rsidRDefault="00C22168" w:rsidP="00C22168">
      <w:pPr>
        <w:rPr>
          <w:rFonts w:cs="Arial"/>
          <w:color w:val="000000" w:themeColor="text1"/>
        </w:rPr>
      </w:pPr>
    </w:p>
    <w:p w:rsidR="00C22168" w:rsidRPr="00C22168" w:rsidRDefault="00C22168" w:rsidP="00C22168">
      <w:pPr>
        <w:rPr>
          <w:rFonts w:cs="Arial"/>
          <w:color w:val="000000" w:themeColor="text1"/>
        </w:rPr>
        <w:sectPr w:rsidR="00C22168" w:rsidRPr="00C22168" w:rsidSect="00F224C1">
          <w:footerReference w:type="default" r:id="rId109"/>
          <w:type w:val="continuous"/>
          <w:pgSz w:w="11906" w:h="16838"/>
          <w:pgMar w:top="1417" w:right="1134" w:bottom="1134" w:left="1134" w:header="708" w:footer="708" w:gutter="0"/>
          <w:cols w:space="708"/>
          <w:docGrid w:linePitch="360"/>
        </w:sectPr>
      </w:pPr>
      <w:r w:rsidRPr="00C22168">
        <w:rPr>
          <w:rFonts w:cs="Arial"/>
          <w:noProof/>
          <w:color w:val="000000" w:themeColor="text1"/>
          <w:lang w:eastAsia="it-IT"/>
        </w:rPr>
        <w:drawing>
          <wp:inline distT="0" distB="0" distL="0" distR="0" wp14:anchorId="0A1C1900" wp14:editId="72F7C0AE">
            <wp:extent cx="2152650" cy="1885950"/>
            <wp:effectExtent l="0" t="0" r="19050" b="19050"/>
            <wp:docPr id="35" name="Grafico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sidRPr="00C22168">
        <w:rPr>
          <w:rFonts w:cs="Arial"/>
          <w:noProof/>
          <w:color w:val="000000" w:themeColor="text1"/>
          <w:lang w:eastAsia="it-IT"/>
        </w:rPr>
        <w:drawing>
          <wp:inline distT="0" distB="0" distL="0" distR="0" wp14:anchorId="25A7CF72" wp14:editId="31CE0209">
            <wp:extent cx="1857375" cy="1905000"/>
            <wp:effectExtent l="0" t="0" r="9525" b="19050"/>
            <wp:docPr id="36" name="Grafico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sidRPr="00C22168">
        <w:rPr>
          <w:rFonts w:cs="Arial"/>
          <w:noProof/>
          <w:color w:val="000000" w:themeColor="text1"/>
          <w:lang w:eastAsia="it-IT"/>
        </w:rPr>
        <w:drawing>
          <wp:inline distT="0" distB="0" distL="0" distR="0" wp14:anchorId="4730E0E5" wp14:editId="393091ED">
            <wp:extent cx="2038350" cy="1914525"/>
            <wp:effectExtent l="0" t="0" r="19050" b="9525"/>
            <wp:docPr id="37" name="Grafico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C22168" w:rsidRPr="00C22168" w:rsidRDefault="00C22168" w:rsidP="00C22168">
      <w:pPr>
        <w:rPr>
          <w:rFonts w:cs="Arial"/>
          <w:color w:val="000000" w:themeColor="text1"/>
        </w:rPr>
      </w:pPr>
      <w:r w:rsidRPr="00C22168">
        <w:rPr>
          <w:rFonts w:cs="Arial"/>
          <w:color w:val="000000" w:themeColor="text1"/>
        </w:rPr>
        <w:lastRenderedPageBreak/>
        <w:t>L’indice di vecchiaia risulta più alto a Cremona, più basso e in linea con la Regione a Crema. Nel mezzo a Mantova.</w:t>
      </w:r>
    </w:p>
    <w:tbl>
      <w:tblPr>
        <w:tblW w:w="6301" w:type="dxa"/>
        <w:jc w:val="center"/>
        <w:tblInd w:w="55" w:type="dxa"/>
        <w:tblCellMar>
          <w:left w:w="70" w:type="dxa"/>
          <w:right w:w="70" w:type="dxa"/>
        </w:tblCellMar>
        <w:tblLook w:val="04A0" w:firstRow="1" w:lastRow="0" w:firstColumn="1" w:lastColumn="0" w:noHBand="0" w:noVBand="1"/>
      </w:tblPr>
      <w:tblGrid>
        <w:gridCol w:w="2365"/>
        <w:gridCol w:w="1236"/>
        <w:gridCol w:w="1665"/>
        <w:gridCol w:w="1159"/>
      </w:tblGrid>
      <w:tr w:rsidR="00C22168" w:rsidRPr="00C22168" w:rsidTr="00960A7C">
        <w:trPr>
          <w:trHeight w:val="377"/>
          <w:jc w:val="center"/>
        </w:trPr>
        <w:tc>
          <w:tcPr>
            <w:tcW w:w="236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bottom"/>
          </w:tcPr>
          <w:p w:rsidR="00C22168" w:rsidRPr="00C22168" w:rsidRDefault="00C22168" w:rsidP="00C22168">
            <w:pPr>
              <w:rPr>
                <w:rFonts w:cs="Arial"/>
                <w:color w:val="000000" w:themeColor="text1"/>
              </w:rPr>
            </w:pPr>
            <w:r w:rsidRPr="00C22168">
              <w:rPr>
                <w:rFonts w:cs="Arial"/>
                <w:color w:val="000000" w:themeColor="text1"/>
              </w:rPr>
              <w:t>Area Territoriale</w:t>
            </w:r>
          </w:p>
        </w:tc>
        <w:tc>
          <w:tcPr>
            <w:tcW w:w="1112" w:type="dxa"/>
            <w:tcBorders>
              <w:top w:val="single" w:sz="4" w:space="0" w:color="auto"/>
              <w:left w:val="nil"/>
              <w:bottom w:val="single" w:sz="4" w:space="0" w:color="auto"/>
              <w:right w:val="single" w:sz="4" w:space="0" w:color="auto"/>
            </w:tcBorders>
            <w:shd w:val="clear" w:color="auto" w:fill="BFBFBF" w:themeFill="background1" w:themeFillShade="BF"/>
            <w:vAlign w:val="bottom"/>
          </w:tcPr>
          <w:p w:rsidR="00C22168" w:rsidRPr="00C22168" w:rsidRDefault="00C22168" w:rsidP="00C22168">
            <w:pPr>
              <w:rPr>
                <w:rFonts w:cs="Arial"/>
                <w:color w:val="000000" w:themeColor="text1"/>
              </w:rPr>
            </w:pPr>
            <w:r w:rsidRPr="00C22168">
              <w:rPr>
                <w:rFonts w:cs="Arial"/>
                <w:color w:val="000000" w:themeColor="text1"/>
              </w:rPr>
              <w:t>Popolazione 0-14</w:t>
            </w:r>
          </w:p>
        </w:tc>
        <w:tc>
          <w:tcPr>
            <w:tcW w:w="1665" w:type="dxa"/>
            <w:tcBorders>
              <w:top w:val="single" w:sz="4" w:space="0" w:color="auto"/>
              <w:left w:val="nil"/>
              <w:bottom w:val="single" w:sz="4" w:space="0" w:color="auto"/>
              <w:right w:val="single" w:sz="4" w:space="0" w:color="auto"/>
            </w:tcBorders>
            <w:shd w:val="clear" w:color="auto" w:fill="BFBFBF" w:themeFill="background1" w:themeFillShade="BF"/>
            <w:vAlign w:val="bottom"/>
          </w:tcPr>
          <w:p w:rsidR="00C22168" w:rsidRPr="00C22168" w:rsidRDefault="00C22168" w:rsidP="00C22168">
            <w:pPr>
              <w:rPr>
                <w:rFonts w:cs="Arial"/>
                <w:color w:val="000000" w:themeColor="text1"/>
              </w:rPr>
            </w:pPr>
            <w:r w:rsidRPr="00C22168">
              <w:rPr>
                <w:rFonts w:cs="Arial"/>
                <w:color w:val="000000" w:themeColor="text1"/>
              </w:rPr>
              <w:t>Popolazione 65+</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rsidR="00C22168" w:rsidRPr="00C22168" w:rsidRDefault="00C22168" w:rsidP="00C22168">
            <w:pPr>
              <w:rPr>
                <w:rFonts w:cs="Arial"/>
                <w:color w:val="000000" w:themeColor="text1"/>
              </w:rPr>
            </w:pPr>
            <w:r w:rsidRPr="00C22168">
              <w:rPr>
                <w:rFonts w:cs="Arial"/>
                <w:color w:val="000000" w:themeColor="text1"/>
              </w:rPr>
              <w:t>IV</w:t>
            </w:r>
          </w:p>
        </w:tc>
      </w:tr>
      <w:tr w:rsidR="00C22168" w:rsidRPr="00C22168" w:rsidTr="00960A7C">
        <w:trPr>
          <w:trHeight w:val="377"/>
          <w:jc w:val="center"/>
        </w:trPr>
        <w:tc>
          <w:tcPr>
            <w:tcW w:w="2365"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CREMA</w:t>
            </w:r>
          </w:p>
        </w:tc>
        <w:tc>
          <w:tcPr>
            <w:tcW w:w="1112"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22557</w:t>
            </w:r>
          </w:p>
        </w:tc>
        <w:tc>
          <w:tcPr>
            <w:tcW w:w="1665"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35300</w:t>
            </w:r>
          </w:p>
        </w:tc>
        <w:tc>
          <w:tcPr>
            <w:tcW w:w="1159"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156</w:t>
            </w:r>
          </w:p>
        </w:tc>
      </w:tr>
      <w:tr w:rsidR="00C22168" w:rsidRPr="00C22168" w:rsidTr="00960A7C">
        <w:trPr>
          <w:trHeight w:val="377"/>
          <w:jc w:val="center"/>
        </w:trPr>
        <w:tc>
          <w:tcPr>
            <w:tcW w:w="2365"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CREMONA</w:t>
            </w:r>
          </w:p>
        </w:tc>
        <w:tc>
          <w:tcPr>
            <w:tcW w:w="1112"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25531</w:t>
            </w:r>
          </w:p>
        </w:tc>
        <w:tc>
          <w:tcPr>
            <w:tcW w:w="1665"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49917</w:t>
            </w:r>
          </w:p>
        </w:tc>
        <w:tc>
          <w:tcPr>
            <w:tcW w:w="1159"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196</w:t>
            </w:r>
          </w:p>
        </w:tc>
      </w:tr>
      <w:tr w:rsidR="00C22168" w:rsidRPr="00C22168" w:rsidTr="00960A7C">
        <w:trPr>
          <w:trHeight w:val="377"/>
          <w:jc w:val="center"/>
        </w:trPr>
        <w:tc>
          <w:tcPr>
            <w:tcW w:w="2365"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MANTOVA</w:t>
            </w:r>
          </w:p>
        </w:tc>
        <w:tc>
          <w:tcPr>
            <w:tcW w:w="1112"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56894</w:t>
            </w:r>
          </w:p>
        </w:tc>
        <w:tc>
          <w:tcPr>
            <w:tcW w:w="1665"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95539</w:t>
            </w:r>
          </w:p>
        </w:tc>
        <w:tc>
          <w:tcPr>
            <w:tcW w:w="1159"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168</w:t>
            </w:r>
          </w:p>
        </w:tc>
      </w:tr>
      <w:tr w:rsidR="00C22168" w:rsidRPr="00C22168" w:rsidTr="00960A7C">
        <w:trPr>
          <w:trHeight w:val="377"/>
          <w:jc w:val="center"/>
        </w:trPr>
        <w:tc>
          <w:tcPr>
            <w:tcW w:w="2365"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Totale ATS</w:t>
            </w:r>
          </w:p>
        </w:tc>
        <w:tc>
          <w:tcPr>
            <w:tcW w:w="1112"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104982</w:t>
            </w:r>
          </w:p>
        </w:tc>
        <w:tc>
          <w:tcPr>
            <w:tcW w:w="1665"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180756</w:t>
            </w:r>
          </w:p>
        </w:tc>
        <w:tc>
          <w:tcPr>
            <w:tcW w:w="1159"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172</w:t>
            </w:r>
          </w:p>
        </w:tc>
      </w:tr>
      <w:tr w:rsidR="00C22168" w:rsidRPr="00C22168" w:rsidTr="00960A7C">
        <w:trPr>
          <w:trHeight w:val="377"/>
          <w:jc w:val="center"/>
        </w:trPr>
        <w:tc>
          <w:tcPr>
            <w:tcW w:w="2365" w:type="dxa"/>
            <w:tcBorders>
              <w:top w:val="nil"/>
              <w:left w:val="single" w:sz="4" w:space="0" w:color="auto"/>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Lombardia</w:t>
            </w:r>
          </w:p>
        </w:tc>
        <w:tc>
          <w:tcPr>
            <w:tcW w:w="111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1408085</w:t>
            </w:r>
          </w:p>
        </w:tc>
        <w:tc>
          <w:tcPr>
            <w:tcW w:w="1665"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2193018</w:t>
            </w:r>
          </w:p>
        </w:tc>
        <w:tc>
          <w:tcPr>
            <w:tcW w:w="1159"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156</w:t>
            </w:r>
          </w:p>
        </w:tc>
      </w:tr>
    </w:tbl>
    <w:p w:rsidR="00C22168" w:rsidRPr="00C22168" w:rsidRDefault="00C22168" w:rsidP="00C22168">
      <w:pPr>
        <w:rPr>
          <w:rFonts w:cs="Arial"/>
          <w:color w:val="000000" w:themeColor="text1"/>
        </w:rPr>
      </w:pPr>
    </w:p>
    <w:p w:rsidR="00C22168" w:rsidRPr="00C22168" w:rsidRDefault="00C22168" w:rsidP="00C22168">
      <w:pPr>
        <w:rPr>
          <w:rFonts w:cs="Arial"/>
          <w:color w:val="000000" w:themeColor="text1"/>
        </w:rPr>
      </w:pPr>
      <w:r w:rsidRPr="00C22168">
        <w:rPr>
          <w:rFonts w:cs="Arial"/>
          <w:color w:val="000000" w:themeColor="text1"/>
        </w:rPr>
        <w:t>I tassi provinciali di fecondità e natalità risultano simili sia come andamento che come trend, evidenziando un calo significativo dal 2010 in avanti.</w:t>
      </w:r>
    </w:p>
    <w:p w:rsidR="00C22168" w:rsidRPr="00C22168" w:rsidRDefault="00C22168" w:rsidP="00C22168">
      <w:pPr>
        <w:rPr>
          <w:rFonts w:cs="Arial"/>
          <w:color w:val="000000" w:themeColor="text1"/>
        </w:rPr>
      </w:pPr>
      <w:r w:rsidRPr="00C22168">
        <w:rPr>
          <w:rFonts w:cs="Arial"/>
          <w:noProof/>
          <w:color w:val="000000" w:themeColor="text1"/>
          <w:lang w:eastAsia="it-IT"/>
        </w:rPr>
        <w:drawing>
          <wp:inline distT="0" distB="0" distL="0" distR="0" wp14:anchorId="175AF7AF" wp14:editId="17DCAC19">
            <wp:extent cx="2895600" cy="2281838"/>
            <wp:effectExtent l="0" t="0" r="0" b="4445"/>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05109" cy="2289331"/>
                    </a:xfrm>
                    <a:prstGeom prst="rect">
                      <a:avLst/>
                    </a:prstGeom>
                    <a:noFill/>
                    <a:ln>
                      <a:noFill/>
                    </a:ln>
                  </pic:spPr>
                </pic:pic>
              </a:graphicData>
            </a:graphic>
          </wp:inline>
        </w:drawing>
      </w:r>
      <w:r w:rsidRPr="00C22168">
        <w:rPr>
          <w:rFonts w:cs="Arial"/>
          <w:noProof/>
          <w:color w:val="000000" w:themeColor="text1"/>
          <w:lang w:eastAsia="it-IT"/>
        </w:rPr>
        <w:drawing>
          <wp:inline distT="0" distB="0" distL="0" distR="0" wp14:anchorId="07C3056A" wp14:editId="5FB36E2D">
            <wp:extent cx="2807157" cy="2266950"/>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22992" cy="2279738"/>
                    </a:xfrm>
                    <a:prstGeom prst="rect">
                      <a:avLst/>
                    </a:prstGeom>
                    <a:noFill/>
                    <a:ln>
                      <a:noFill/>
                    </a:ln>
                  </pic:spPr>
                </pic:pic>
              </a:graphicData>
            </a:graphic>
          </wp:inline>
        </w:drawing>
      </w:r>
    </w:p>
    <w:p w:rsidR="00C22168" w:rsidRPr="00C22168" w:rsidRDefault="00C22168" w:rsidP="00C22168">
      <w:pPr>
        <w:rPr>
          <w:rFonts w:cs="Arial"/>
          <w:color w:val="000000" w:themeColor="text1"/>
        </w:rPr>
      </w:pPr>
      <w:r w:rsidRPr="00C22168">
        <w:rPr>
          <w:rFonts w:cs="Arial"/>
          <w:color w:val="000000" w:themeColor="text1"/>
        </w:rPr>
        <w:t>Il saldo naturale, rapporto nati/morti, risulta sempre in passivo nei 3 Distretti e più marcato nel confronto regionale (dato ISTAT 2015)</w:t>
      </w:r>
    </w:p>
    <w:tbl>
      <w:tblPr>
        <w:tblW w:w="7964" w:type="dxa"/>
        <w:jc w:val="center"/>
        <w:tblInd w:w="55" w:type="dxa"/>
        <w:tblCellMar>
          <w:left w:w="70" w:type="dxa"/>
          <w:right w:w="70" w:type="dxa"/>
        </w:tblCellMar>
        <w:tblLook w:val="04A0" w:firstRow="1" w:lastRow="0" w:firstColumn="1" w:lastColumn="0" w:noHBand="0" w:noVBand="1"/>
      </w:tblPr>
      <w:tblGrid>
        <w:gridCol w:w="2282"/>
        <w:gridCol w:w="1238"/>
        <w:gridCol w:w="1580"/>
        <w:gridCol w:w="1432"/>
        <w:gridCol w:w="1432"/>
      </w:tblGrid>
      <w:tr w:rsidR="00C22168" w:rsidRPr="00C22168" w:rsidTr="00960A7C">
        <w:trPr>
          <w:trHeight w:val="325"/>
          <w:jc w:val="center"/>
        </w:trPr>
        <w:tc>
          <w:tcPr>
            <w:tcW w:w="2282"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Area territoriale</w:t>
            </w:r>
          </w:p>
        </w:tc>
        <w:tc>
          <w:tcPr>
            <w:tcW w:w="1238" w:type="dxa"/>
            <w:tcBorders>
              <w:top w:val="single" w:sz="4" w:space="0" w:color="auto"/>
              <w:left w:val="nil"/>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 xml:space="preserve">Nati </w:t>
            </w:r>
          </w:p>
        </w:tc>
        <w:tc>
          <w:tcPr>
            <w:tcW w:w="1580" w:type="dxa"/>
            <w:tcBorders>
              <w:top w:val="single" w:sz="4" w:space="0" w:color="auto"/>
              <w:left w:val="nil"/>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Morti</w:t>
            </w:r>
          </w:p>
        </w:tc>
        <w:tc>
          <w:tcPr>
            <w:tcW w:w="1432" w:type="dxa"/>
            <w:tcBorders>
              <w:top w:val="single" w:sz="4" w:space="0" w:color="auto"/>
              <w:left w:val="nil"/>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Saldo naturale</w:t>
            </w:r>
          </w:p>
        </w:tc>
        <w:tc>
          <w:tcPr>
            <w:tcW w:w="1432" w:type="dxa"/>
            <w:tcBorders>
              <w:top w:val="single" w:sz="4" w:space="0" w:color="auto"/>
              <w:left w:val="nil"/>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w:t>
            </w:r>
          </w:p>
        </w:tc>
      </w:tr>
      <w:tr w:rsidR="00C22168" w:rsidRPr="00C22168" w:rsidTr="00960A7C">
        <w:trPr>
          <w:trHeight w:val="325"/>
          <w:jc w:val="center"/>
        </w:trPr>
        <w:tc>
          <w:tcPr>
            <w:tcW w:w="2282"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CREMA</w:t>
            </w:r>
          </w:p>
        </w:tc>
        <w:tc>
          <w:tcPr>
            <w:tcW w:w="1238"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1302</w:t>
            </w:r>
          </w:p>
        </w:tc>
        <w:tc>
          <w:tcPr>
            <w:tcW w:w="1580"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1686</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-384</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-22,8</w:t>
            </w:r>
          </w:p>
        </w:tc>
      </w:tr>
      <w:tr w:rsidR="00C22168" w:rsidRPr="00C22168" w:rsidTr="00960A7C">
        <w:trPr>
          <w:trHeight w:val="325"/>
          <w:jc w:val="center"/>
        </w:trPr>
        <w:tc>
          <w:tcPr>
            <w:tcW w:w="2282"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CREMONA</w:t>
            </w:r>
          </w:p>
        </w:tc>
        <w:tc>
          <w:tcPr>
            <w:tcW w:w="1238"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1489</w:t>
            </w:r>
          </w:p>
        </w:tc>
        <w:tc>
          <w:tcPr>
            <w:tcW w:w="1580"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2482</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-993</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-40,0</w:t>
            </w:r>
          </w:p>
        </w:tc>
      </w:tr>
      <w:tr w:rsidR="00C22168" w:rsidRPr="00C22168" w:rsidTr="00960A7C">
        <w:trPr>
          <w:trHeight w:val="325"/>
          <w:jc w:val="center"/>
        </w:trPr>
        <w:tc>
          <w:tcPr>
            <w:tcW w:w="2282"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MANTOVA</w:t>
            </w:r>
          </w:p>
        </w:tc>
        <w:tc>
          <w:tcPr>
            <w:tcW w:w="1238"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3242</w:t>
            </w:r>
          </w:p>
        </w:tc>
        <w:tc>
          <w:tcPr>
            <w:tcW w:w="1580"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4682</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-1440</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-30,8</w:t>
            </w:r>
          </w:p>
        </w:tc>
      </w:tr>
      <w:tr w:rsidR="00C22168" w:rsidRPr="00C22168" w:rsidTr="00960A7C">
        <w:trPr>
          <w:trHeight w:val="325"/>
          <w:jc w:val="center"/>
        </w:trPr>
        <w:tc>
          <w:tcPr>
            <w:tcW w:w="2282"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Totale ATS</w:t>
            </w:r>
          </w:p>
        </w:tc>
        <w:tc>
          <w:tcPr>
            <w:tcW w:w="1238"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6033</w:t>
            </w:r>
          </w:p>
        </w:tc>
        <w:tc>
          <w:tcPr>
            <w:tcW w:w="1580"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8850</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-2817</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-31,8</w:t>
            </w:r>
          </w:p>
        </w:tc>
      </w:tr>
      <w:tr w:rsidR="00C22168" w:rsidRPr="00C22168" w:rsidTr="00960A7C">
        <w:trPr>
          <w:trHeight w:val="325"/>
          <w:jc w:val="center"/>
        </w:trPr>
        <w:tc>
          <w:tcPr>
            <w:tcW w:w="2282" w:type="dxa"/>
            <w:tcBorders>
              <w:top w:val="nil"/>
              <w:left w:val="single" w:sz="4" w:space="0" w:color="auto"/>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Lombardia</w:t>
            </w:r>
          </w:p>
        </w:tc>
        <w:tc>
          <w:tcPr>
            <w:tcW w:w="1238"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84149</w:t>
            </w:r>
          </w:p>
        </w:tc>
        <w:tc>
          <w:tcPr>
            <w:tcW w:w="1580"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99470</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-15321</w:t>
            </w:r>
          </w:p>
        </w:tc>
        <w:tc>
          <w:tcPr>
            <w:tcW w:w="1432"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-15,4</w:t>
            </w:r>
          </w:p>
        </w:tc>
      </w:tr>
    </w:tbl>
    <w:p w:rsidR="00C22168" w:rsidRPr="00C22168" w:rsidRDefault="00C22168" w:rsidP="00C22168">
      <w:pPr>
        <w:rPr>
          <w:rFonts w:cs="Arial"/>
          <w:color w:val="000000" w:themeColor="text1"/>
        </w:rPr>
      </w:pPr>
    </w:p>
    <w:p w:rsidR="00C22168" w:rsidRPr="00C22168" w:rsidRDefault="00C22168" w:rsidP="00C22168">
      <w:pPr>
        <w:rPr>
          <w:rFonts w:cs="Arial"/>
          <w:color w:val="000000" w:themeColor="text1"/>
        </w:rPr>
      </w:pPr>
      <w:r w:rsidRPr="00C22168">
        <w:rPr>
          <w:rFonts w:cs="Arial"/>
          <w:color w:val="000000" w:themeColor="text1"/>
        </w:rPr>
        <w:t>La popolazione straniera residente è presente con frequenze percentuali simili nei 3 Distretti, anche se Crema appare più allineata in difetto con regione Lombardia.</w:t>
      </w:r>
    </w:p>
    <w:tbl>
      <w:tblPr>
        <w:tblW w:w="6460" w:type="dxa"/>
        <w:jc w:val="center"/>
        <w:tblInd w:w="55" w:type="dxa"/>
        <w:tblCellMar>
          <w:left w:w="70" w:type="dxa"/>
          <w:right w:w="70" w:type="dxa"/>
        </w:tblCellMar>
        <w:tblLook w:val="04A0" w:firstRow="1" w:lastRow="0" w:firstColumn="1" w:lastColumn="0" w:noHBand="0" w:noVBand="1"/>
      </w:tblPr>
      <w:tblGrid>
        <w:gridCol w:w="2600"/>
        <w:gridCol w:w="1306"/>
        <w:gridCol w:w="1340"/>
        <w:gridCol w:w="1214"/>
      </w:tblGrid>
      <w:tr w:rsidR="00C22168" w:rsidRPr="00C22168" w:rsidTr="00960A7C">
        <w:trPr>
          <w:trHeight w:val="321"/>
          <w:jc w:val="center"/>
        </w:trPr>
        <w:tc>
          <w:tcPr>
            <w:tcW w:w="260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Area territoriale</w:t>
            </w:r>
          </w:p>
        </w:tc>
        <w:tc>
          <w:tcPr>
            <w:tcW w:w="1306" w:type="dxa"/>
            <w:tcBorders>
              <w:top w:val="single" w:sz="4" w:space="0" w:color="auto"/>
              <w:left w:val="nil"/>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Italiani</w:t>
            </w:r>
          </w:p>
        </w:tc>
        <w:tc>
          <w:tcPr>
            <w:tcW w:w="1340" w:type="dxa"/>
            <w:tcBorders>
              <w:top w:val="single" w:sz="4" w:space="0" w:color="auto"/>
              <w:left w:val="nil"/>
              <w:bottom w:val="single" w:sz="4" w:space="0" w:color="auto"/>
              <w:right w:val="single" w:sz="4" w:space="0" w:color="auto"/>
            </w:tcBorders>
            <w:shd w:val="clear" w:color="000000" w:fill="BFBFBF"/>
            <w:noWrap/>
            <w:vAlign w:val="bottom"/>
            <w:hideMark/>
          </w:tcPr>
          <w:p w:rsidR="00C22168" w:rsidRPr="00C22168" w:rsidRDefault="00C22168" w:rsidP="00C22168">
            <w:pPr>
              <w:rPr>
                <w:rFonts w:cs="Arial"/>
                <w:color w:val="000000" w:themeColor="text1"/>
              </w:rPr>
            </w:pPr>
            <w:r w:rsidRPr="00C22168">
              <w:rPr>
                <w:rFonts w:cs="Arial"/>
                <w:color w:val="000000" w:themeColor="text1"/>
              </w:rPr>
              <w:t>Stranieri</w:t>
            </w:r>
          </w:p>
        </w:tc>
        <w:tc>
          <w:tcPr>
            <w:tcW w:w="1214" w:type="dxa"/>
            <w:tcBorders>
              <w:top w:val="single" w:sz="4" w:space="0" w:color="auto"/>
              <w:left w:val="nil"/>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w:t>
            </w:r>
          </w:p>
        </w:tc>
      </w:tr>
      <w:tr w:rsidR="00C22168" w:rsidRPr="00C22168" w:rsidTr="00960A7C">
        <w:trPr>
          <w:trHeight w:val="321"/>
          <w:jc w:val="center"/>
        </w:trPr>
        <w:tc>
          <w:tcPr>
            <w:tcW w:w="2600"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CREMA</w:t>
            </w:r>
          </w:p>
        </w:tc>
        <w:tc>
          <w:tcPr>
            <w:tcW w:w="1306"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146806</w:t>
            </w:r>
          </w:p>
        </w:tc>
        <w:tc>
          <w:tcPr>
            <w:tcW w:w="1340"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17325</w:t>
            </w:r>
          </w:p>
        </w:tc>
        <w:tc>
          <w:tcPr>
            <w:tcW w:w="1214"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11,8</w:t>
            </w:r>
          </w:p>
        </w:tc>
      </w:tr>
      <w:tr w:rsidR="00C22168" w:rsidRPr="00C22168" w:rsidTr="00960A7C">
        <w:trPr>
          <w:trHeight w:val="321"/>
          <w:jc w:val="center"/>
        </w:trPr>
        <w:tc>
          <w:tcPr>
            <w:tcW w:w="2600"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CREMONA</w:t>
            </w:r>
          </w:p>
        </w:tc>
        <w:tc>
          <w:tcPr>
            <w:tcW w:w="1306"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171140</w:t>
            </w:r>
          </w:p>
        </w:tc>
        <w:tc>
          <w:tcPr>
            <w:tcW w:w="1340"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28846</w:t>
            </w:r>
          </w:p>
        </w:tc>
        <w:tc>
          <w:tcPr>
            <w:tcW w:w="1214"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16,9</w:t>
            </w:r>
          </w:p>
        </w:tc>
      </w:tr>
      <w:tr w:rsidR="00C22168" w:rsidRPr="00C22168" w:rsidTr="00960A7C">
        <w:trPr>
          <w:trHeight w:val="321"/>
          <w:jc w:val="center"/>
        </w:trPr>
        <w:tc>
          <w:tcPr>
            <w:tcW w:w="2600"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MANTOVA</w:t>
            </w:r>
          </w:p>
        </w:tc>
        <w:tc>
          <w:tcPr>
            <w:tcW w:w="1306"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358373</w:t>
            </w:r>
          </w:p>
        </w:tc>
        <w:tc>
          <w:tcPr>
            <w:tcW w:w="1340" w:type="dxa"/>
            <w:tcBorders>
              <w:top w:val="nil"/>
              <w:left w:val="nil"/>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55628</w:t>
            </w:r>
          </w:p>
        </w:tc>
        <w:tc>
          <w:tcPr>
            <w:tcW w:w="1214"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15,5</w:t>
            </w:r>
          </w:p>
        </w:tc>
      </w:tr>
      <w:tr w:rsidR="00C22168" w:rsidRPr="00C22168" w:rsidTr="00960A7C">
        <w:trPr>
          <w:trHeight w:val="321"/>
          <w:jc w:val="center"/>
        </w:trPr>
        <w:tc>
          <w:tcPr>
            <w:tcW w:w="2600"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Totale ATS</w:t>
            </w:r>
          </w:p>
        </w:tc>
        <w:tc>
          <w:tcPr>
            <w:tcW w:w="1306"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676319</w:t>
            </w:r>
          </w:p>
        </w:tc>
        <w:tc>
          <w:tcPr>
            <w:tcW w:w="1340"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101799</w:t>
            </w:r>
          </w:p>
        </w:tc>
        <w:tc>
          <w:tcPr>
            <w:tcW w:w="1214"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15,1</w:t>
            </w:r>
          </w:p>
        </w:tc>
      </w:tr>
      <w:tr w:rsidR="00C22168" w:rsidRPr="00C22168" w:rsidTr="00960A7C">
        <w:trPr>
          <w:trHeight w:val="321"/>
          <w:jc w:val="center"/>
        </w:trPr>
        <w:tc>
          <w:tcPr>
            <w:tcW w:w="2600" w:type="dxa"/>
            <w:tcBorders>
              <w:top w:val="nil"/>
              <w:left w:val="single" w:sz="4" w:space="0" w:color="auto"/>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Lombardia</w:t>
            </w:r>
          </w:p>
        </w:tc>
        <w:tc>
          <w:tcPr>
            <w:tcW w:w="1306"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10008349</w:t>
            </w:r>
          </w:p>
        </w:tc>
        <w:tc>
          <w:tcPr>
            <w:tcW w:w="1340"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1149011</w:t>
            </w:r>
          </w:p>
        </w:tc>
        <w:tc>
          <w:tcPr>
            <w:tcW w:w="1214"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11,5</w:t>
            </w:r>
          </w:p>
        </w:tc>
      </w:tr>
    </w:tbl>
    <w:p w:rsidR="00C22168" w:rsidRPr="00C22168" w:rsidRDefault="00C22168" w:rsidP="00C22168">
      <w:pPr>
        <w:rPr>
          <w:rFonts w:cs="Arial"/>
          <w:color w:val="000000" w:themeColor="text1"/>
        </w:rPr>
      </w:pPr>
      <w:r w:rsidRPr="00C22168">
        <w:rPr>
          <w:rFonts w:cs="Arial"/>
          <w:color w:val="000000" w:themeColor="text1"/>
        </w:rPr>
        <w:t>Come atteso, decisamente diversa è la struttura per età della popolazione straniera in cui  prevalgono le fasce di età giovani-adulte.</w:t>
      </w:r>
    </w:p>
    <w:p w:rsidR="00C22168" w:rsidRPr="00C22168" w:rsidRDefault="00C22168" w:rsidP="00C22168">
      <w:pPr>
        <w:rPr>
          <w:rFonts w:cs="Arial"/>
          <w:color w:val="000000" w:themeColor="text1"/>
        </w:rPr>
        <w:sectPr w:rsidR="00C22168" w:rsidRPr="00C22168" w:rsidSect="005A0025">
          <w:type w:val="continuous"/>
          <w:pgSz w:w="11906" w:h="16838"/>
          <w:pgMar w:top="1417" w:right="1134" w:bottom="1134" w:left="1134" w:header="708" w:footer="708" w:gutter="0"/>
          <w:cols w:space="708"/>
          <w:docGrid w:linePitch="360"/>
        </w:sectPr>
      </w:pPr>
    </w:p>
    <w:p w:rsidR="00C22168" w:rsidRPr="00C22168" w:rsidRDefault="00C22168" w:rsidP="00C22168">
      <w:pPr>
        <w:rPr>
          <w:rFonts w:cs="Arial"/>
          <w:color w:val="000000" w:themeColor="text1"/>
        </w:rPr>
      </w:pPr>
      <w:r w:rsidRPr="00C22168">
        <w:rPr>
          <w:rFonts w:cs="Arial"/>
          <w:noProof/>
          <w:color w:val="000000" w:themeColor="text1"/>
          <w:lang w:eastAsia="it-IT"/>
        </w:rPr>
        <w:lastRenderedPageBreak/>
        <w:drawing>
          <wp:inline distT="0" distB="0" distL="0" distR="0" wp14:anchorId="019696CF" wp14:editId="09242A3E">
            <wp:extent cx="2867025" cy="2343150"/>
            <wp:effectExtent l="0" t="0" r="9525" b="19050"/>
            <wp:docPr id="59" name="Gra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r w:rsidRPr="00C22168">
        <w:rPr>
          <w:rFonts w:cs="Arial"/>
          <w:noProof/>
          <w:color w:val="000000" w:themeColor="text1"/>
          <w:lang w:eastAsia="it-IT"/>
        </w:rPr>
        <w:drawing>
          <wp:inline distT="0" distB="0" distL="0" distR="0" wp14:anchorId="4B7531FD" wp14:editId="6A0B955B">
            <wp:extent cx="2857500" cy="2343150"/>
            <wp:effectExtent l="0" t="0" r="19050" b="19050"/>
            <wp:docPr id="673" name="Grafico 6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C22168" w:rsidRPr="00C22168" w:rsidRDefault="00C22168" w:rsidP="00C22168">
      <w:pPr>
        <w:rPr>
          <w:rFonts w:cs="Arial"/>
          <w:color w:val="000000" w:themeColor="text1"/>
        </w:rPr>
        <w:sectPr w:rsidR="00C22168" w:rsidRPr="00C22168" w:rsidSect="00D41BB1">
          <w:type w:val="continuous"/>
          <w:pgSz w:w="11906" w:h="16838"/>
          <w:pgMar w:top="1417" w:right="1134" w:bottom="1134" w:left="1134" w:header="708" w:footer="708" w:gutter="0"/>
          <w:cols w:space="708"/>
          <w:docGrid w:linePitch="360"/>
        </w:sectPr>
      </w:pPr>
    </w:p>
    <w:p w:rsidR="00C22168" w:rsidRPr="00C22168" w:rsidRDefault="00C22168" w:rsidP="00C22168">
      <w:pPr>
        <w:rPr>
          <w:rFonts w:cs="Arial"/>
          <w:color w:val="000000" w:themeColor="text1"/>
        </w:rPr>
      </w:pPr>
      <w:r w:rsidRPr="00C22168">
        <w:rPr>
          <w:rFonts w:cs="Arial"/>
          <w:color w:val="000000" w:themeColor="text1"/>
        </w:rPr>
        <w:lastRenderedPageBreak/>
        <w:t>L’unico indicatore di status sociale analizzabile è l’esenzione per reddito, sostanzialmente in linea nei 3 Distretti, anche nel confronto con la sola popolazione attiva.</w:t>
      </w:r>
    </w:p>
    <w:tbl>
      <w:tblPr>
        <w:tblW w:w="7393" w:type="dxa"/>
        <w:jc w:val="center"/>
        <w:tblInd w:w="55" w:type="dxa"/>
        <w:tblCellMar>
          <w:left w:w="70" w:type="dxa"/>
          <w:right w:w="70" w:type="dxa"/>
        </w:tblCellMar>
        <w:tblLook w:val="04A0" w:firstRow="1" w:lastRow="0" w:firstColumn="1" w:lastColumn="0" w:noHBand="0" w:noVBand="1"/>
      </w:tblPr>
      <w:tblGrid>
        <w:gridCol w:w="2271"/>
        <w:gridCol w:w="2506"/>
        <w:gridCol w:w="2616"/>
      </w:tblGrid>
      <w:tr w:rsidR="00C22168" w:rsidRPr="00C22168" w:rsidTr="00960A7C">
        <w:trPr>
          <w:trHeight w:val="334"/>
          <w:jc w:val="center"/>
        </w:trPr>
        <w:tc>
          <w:tcPr>
            <w:tcW w:w="2271"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Area territoriale</w:t>
            </w:r>
          </w:p>
        </w:tc>
        <w:tc>
          <w:tcPr>
            <w:tcW w:w="2506" w:type="dxa"/>
            <w:tcBorders>
              <w:top w:val="single" w:sz="4" w:space="0" w:color="auto"/>
              <w:left w:val="nil"/>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Popolazione tutta</w:t>
            </w:r>
          </w:p>
        </w:tc>
        <w:tc>
          <w:tcPr>
            <w:tcW w:w="2616" w:type="dxa"/>
            <w:tcBorders>
              <w:top w:val="single" w:sz="4" w:space="0" w:color="auto"/>
              <w:left w:val="nil"/>
              <w:bottom w:val="single" w:sz="4" w:space="0" w:color="auto"/>
              <w:right w:val="single" w:sz="4" w:space="0" w:color="auto"/>
            </w:tcBorders>
            <w:shd w:val="clear" w:color="000000" w:fill="C0C0C0"/>
            <w:noWrap/>
            <w:vAlign w:val="bottom"/>
            <w:hideMark/>
          </w:tcPr>
          <w:p w:rsidR="00C22168" w:rsidRPr="00C22168" w:rsidRDefault="00C22168" w:rsidP="00C22168">
            <w:pPr>
              <w:rPr>
                <w:rFonts w:cs="Arial"/>
                <w:color w:val="000000" w:themeColor="text1"/>
              </w:rPr>
            </w:pPr>
            <w:r w:rsidRPr="00C22168">
              <w:rPr>
                <w:rFonts w:cs="Arial"/>
                <w:color w:val="000000" w:themeColor="text1"/>
              </w:rPr>
              <w:t>Popolazione 15-64</w:t>
            </w:r>
          </w:p>
        </w:tc>
      </w:tr>
      <w:tr w:rsidR="00C22168" w:rsidRPr="00C22168" w:rsidTr="00960A7C">
        <w:trPr>
          <w:trHeight w:val="334"/>
          <w:jc w:val="center"/>
        </w:trPr>
        <w:tc>
          <w:tcPr>
            <w:tcW w:w="2271"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CREMA</w:t>
            </w:r>
          </w:p>
        </w:tc>
        <w:tc>
          <w:tcPr>
            <w:tcW w:w="2506"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43,1</w:t>
            </w:r>
          </w:p>
        </w:tc>
        <w:tc>
          <w:tcPr>
            <w:tcW w:w="2616"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18,3</w:t>
            </w:r>
          </w:p>
        </w:tc>
      </w:tr>
      <w:tr w:rsidR="00C22168" w:rsidRPr="00C22168" w:rsidTr="00960A7C">
        <w:trPr>
          <w:trHeight w:val="334"/>
          <w:jc w:val="center"/>
        </w:trPr>
        <w:tc>
          <w:tcPr>
            <w:tcW w:w="2271"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CREMONA</w:t>
            </w:r>
          </w:p>
        </w:tc>
        <w:tc>
          <w:tcPr>
            <w:tcW w:w="2506"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43,4</w:t>
            </w:r>
          </w:p>
        </w:tc>
        <w:tc>
          <w:tcPr>
            <w:tcW w:w="2616"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17,4</w:t>
            </w:r>
          </w:p>
        </w:tc>
      </w:tr>
      <w:tr w:rsidR="00C22168" w:rsidRPr="00C22168" w:rsidTr="00960A7C">
        <w:trPr>
          <w:trHeight w:val="334"/>
          <w:jc w:val="center"/>
        </w:trPr>
        <w:tc>
          <w:tcPr>
            <w:tcW w:w="2271" w:type="dxa"/>
            <w:tcBorders>
              <w:top w:val="nil"/>
              <w:left w:val="single" w:sz="4" w:space="0" w:color="auto"/>
              <w:bottom w:val="single" w:sz="4" w:space="0" w:color="auto"/>
              <w:right w:val="single" w:sz="4" w:space="0" w:color="auto"/>
            </w:tcBorders>
            <w:shd w:val="clear" w:color="auto" w:fill="auto"/>
            <w:vAlign w:val="bottom"/>
            <w:hideMark/>
          </w:tcPr>
          <w:p w:rsidR="00C22168" w:rsidRPr="00C22168" w:rsidRDefault="00C22168" w:rsidP="00C22168">
            <w:pPr>
              <w:rPr>
                <w:rFonts w:cs="Arial"/>
                <w:color w:val="000000" w:themeColor="text1"/>
              </w:rPr>
            </w:pPr>
            <w:r w:rsidRPr="00C22168">
              <w:rPr>
                <w:rFonts w:cs="Arial"/>
                <w:color w:val="000000" w:themeColor="text1"/>
              </w:rPr>
              <w:t>MANTOVA</w:t>
            </w:r>
          </w:p>
        </w:tc>
        <w:tc>
          <w:tcPr>
            <w:tcW w:w="2506"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44,4</w:t>
            </w:r>
          </w:p>
        </w:tc>
        <w:tc>
          <w:tcPr>
            <w:tcW w:w="2616" w:type="dxa"/>
            <w:tcBorders>
              <w:top w:val="nil"/>
              <w:left w:val="nil"/>
              <w:bottom w:val="single" w:sz="4" w:space="0" w:color="auto"/>
              <w:right w:val="single" w:sz="4" w:space="0" w:color="auto"/>
            </w:tcBorders>
            <w:shd w:val="clear" w:color="auto" w:fill="auto"/>
            <w:noWrap/>
            <w:vAlign w:val="bottom"/>
            <w:hideMark/>
          </w:tcPr>
          <w:p w:rsidR="00C22168" w:rsidRPr="00C22168" w:rsidRDefault="00C22168" w:rsidP="00C22168">
            <w:pPr>
              <w:rPr>
                <w:rFonts w:cs="Arial"/>
                <w:color w:val="000000" w:themeColor="text1"/>
              </w:rPr>
            </w:pPr>
            <w:r w:rsidRPr="00C22168">
              <w:rPr>
                <w:rFonts w:cs="Arial"/>
                <w:color w:val="000000" w:themeColor="text1"/>
              </w:rPr>
              <w:t>18,9</w:t>
            </w:r>
          </w:p>
        </w:tc>
      </w:tr>
    </w:tbl>
    <w:p w:rsidR="00982079" w:rsidRPr="00936C48" w:rsidRDefault="00982079" w:rsidP="00936C48">
      <w:pPr>
        <w:rPr>
          <w:rStyle w:val="st1"/>
          <w:rFonts w:cs="Arial"/>
          <w:color w:val="000000" w:themeColor="text1"/>
        </w:rPr>
      </w:pPr>
    </w:p>
    <w:p w:rsidR="00982079" w:rsidRPr="00936C48" w:rsidRDefault="00982079" w:rsidP="00936C48">
      <w:pPr>
        <w:pStyle w:val="Nessunaspaziatura"/>
        <w:jc w:val="both"/>
        <w:rPr>
          <w:b/>
          <w:color w:val="FF0000"/>
        </w:rPr>
      </w:pPr>
    </w:p>
    <w:sectPr w:rsidR="00982079" w:rsidRPr="00936C48" w:rsidSect="00D41BB1">
      <w:footerReference w:type="default" r:id="rId117"/>
      <w:type w:val="continuous"/>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5AD6" w:rsidRDefault="00375AD6" w:rsidP="00F0553D">
      <w:pPr>
        <w:spacing w:after="0" w:line="240" w:lineRule="auto"/>
      </w:pPr>
      <w:r>
        <w:separator/>
      </w:r>
    </w:p>
  </w:endnote>
  <w:endnote w:type="continuationSeparator" w:id="0">
    <w:p w:rsidR="00375AD6" w:rsidRDefault="00375AD6" w:rsidP="00F055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0371607"/>
      <w:docPartObj>
        <w:docPartGallery w:val="Page Numbers (Bottom of Page)"/>
        <w:docPartUnique/>
      </w:docPartObj>
    </w:sdtPr>
    <w:sdtEndPr/>
    <w:sdtContent>
      <w:p w:rsidR="00960A7C" w:rsidRDefault="00960A7C">
        <w:pPr>
          <w:pStyle w:val="Pidipagina"/>
          <w:jc w:val="center"/>
        </w:pPr>
        <w:r>
          <w:fldChar w:fldCharType="begin"/>
        </w:r>
        <w:r>
          <w:instrText>PAGE   \* MERGEFORMAT</w:instrText>
        </w:r>
        <w:r>
          <w:fldChar w:fldCharType="separate"/>
        </w:r>
        <w:r w:rsidR="00382662">
          <w:rPr>
            <w:noProof/>
          </w:rPr>
          <w:t>3</w:t>
        </w:r>
        <w:r>
          <w:rPr>
            <w:noProof/>
          </w:rPr>
          <w:fldChar w:fldCharType="end"/>
        </w:r>
      </w:p>
    </w:sdtContent>
  </w:sdt>
  <w:p w:rsidR="00960A7C" w:rsidRDefault="00960A7C">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7958465"/>
      <w:docPartObj>
        <w:docPartGallery w:val="Page Numbers (Bottom of Page)"/>
        <w:docPartUnique/>
      </w:docPartObj>
    </w:sdtPr>
    <w:sdtEndPr/>
    <w:sdtContent>
      <w:p w:rsidR="00960A7C" w:rsidRDefault="00960A7C">
        <w:pPr>
          <w:pStyle w:val="Pidipagina"/>
          <w:jc w:val="right"/>
        </w:pPr>
        <w:r>
          <w:fldChar w:fldCharType="begin"/>
        </w:r>
        <w:r>
          <w:instrText>PAGE   \* MERGEFORMAT</w:instrText>
        </w:r>
        <w:r>
          <w:fldChar w:fldCharType="separate"/>
        </w:r>
        <w:r>
          <w:rPr>
            <w:noProof/>
          </w:rPr>
          <w:t>34</w:t>
        </w:r>
        <w:r>
          <w:fldChar w:fldCharType="end"/>
        </w:r>
      </w:p>
    </w:sdtContent>
  </w:sdt>
  <w:p w:rsidR="00960A7C" w:rsidRDefault="00960A7C">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5AD6" w:rsidRDefault="00375AD6" w:rsidP="00F0553D">
      <w:pPr>
        <w:spacing w:after="0" w:line="240" w:lineRule="auto"/>
      </w:pPr>
      <w:r>
        <w:separator/>
      </w:r>
    </w:p>
  </w:footnote>
  <w:footnote w:type="continuationSeparator" w:id="0">
    <w:p w:rsidR="00375AD6" w:rsidRDefault="00375AD6" w:rsidP="00F055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7BC1613"/>
    <w:multiLevelType w:val="hybridMultilevel"/>
    <w:tmpl w:val="07EC35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283"/>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2786"/>
    <w:rsid w:val="0000647A"/>
    <w:rsid w:val="0002212E"/>
    <w:rsid w:val="0003286A"/>
    <w:rsid w:val="000339C2"/>
    <w:rsid w:val="00044568"/>
    <w:rsid w:val="000555AE"/>
    <w:rsid w:val="000912AB"/>
    <w:rsid w:val="0009385E"/>
    <w:rsid w:val="000A61AD"/>
    <w:rsid w:val="000C05EE"/>
    <w:rsid w:val="000C0ACC"/>
    <w:rsid w:val="000C3EEB"/>
    <w:rsid w:val="000C4F25"/>
    <w:rsid w:val="000C5A52"/>
    <w:rsid w:val="000C5B96"/>
    <w:rsid w:val="000D3B76"/>
    <w:rsid w:val="000D56BA"/>
    <w:rsid w:val="000E247D"/>
    <w:rsid w:val="000E41DA"/>
    <w:rsid w:val="0010623F"/>
    <w:rsid w:val="00114EE6"/>
    <w:rsid w:val="00142471"/>
    <w:rsid w:val="00144DAF"/>
    <w:rsid w:val="0014635B"/>
    <w:rsid w:val="0015386F"/>
    <w:rsid w:val="00172204"/>
    <w:rsid w:val="0018245C"/>
    <w:rsid w:val="00185D62"/>
    <w:rsid w:val="001A051D"/>
    <w:rsid w:val="001D46AB"/>
    <w:rsid w:val="00200843"/>
    <w:rsid w:val="00224CA5"/>
    <w:rsid w:val="002254A1"/>
    <w:rsid w:val="00231D3D"/>
    <w:rsid w:val="00236BA0"/>
    <w:rsid w:val="00251E52"/>
    <w:rsid w:val="002766B9"/>
    <w:rsid w:val="002A7861"/>
    <w:rsid w:val="002B2D95"/>
    <w:rsid w:val="002B43E0"/>
    <w:rsid w:val="002B5A4B"/>
    <w:rsid w:val="002E0F8E"/>
    <w:rsid w:val="002F2C5F"/>
    <w:rsid w:val="00302B68"/>
    <w:rsid w:val="003079E2"/>
    <w:rsid w:val="00313558"/>
    <w:rsid w:val="00330E3C"/>
    <w:rsid w:val="00334A2C"/>
    <w:rsid w:val="00342A97"/>
    <w:rsid w:val="00343B02"/>
    <w:rsid w:val="00345393"/>
    <w:rsid w:val="00356565"/>
    <w:rsid w:val="00370F8A"/>
    <w:rsid w:val="00375601"/>
    <w:rsid w:val="00375AD6"/>
    <w:rsid w:val="00382662"/>
    <w:rsid w:val="003925DE"/>
    <w:rsid w:val="0039349C"/>
    <w:rsid w:val="003966C8"/>
    <w:rsid w:val="003B1E3A"/>
    <w:rsid w:val="003C2DF5"/>
    <w:rsid w:val="003D3AFE"/>
    <w:rsid w:val="003F52D1"/>
    <w:rsid w:val="00400786"/>
    <w:rsid w:val="00415879"/>
    <w:rsid w:val="00417117"/>
    <w:rsid w:val="00420BE7"/>
    <w:rsid w:val="00433DB4"/>
    <w:rsid w:val="00455FE6"/>
    <w:rsid w:val="004560CC"/>
    <w:rsid w:val="004577B6"/>
    <w:rsid w:val="004644AA"/>
    <w:rsid w:val="00474336"/>
    <w:rsid w:val="00476035"/>
    <w:rsid w:val="004A6160"/>
    <w:rsid w:val="004B1F45"/>
    <w:rsid w:val="004C1F06"/>
    <w:rsid w:val="004D2786"/>
    <w:rsid w:val="004D7DC7"/>
    <w:rsid w:val="004F32F9"/>
    <w:rsid w:val="004F6049"/>
    <w:rsid w:val="00515CEE"/>
    <w:rsid w:val="005266C7"/>
    <w:rsid w:val="0053451E"/>
    <w:rsid w:val="00541FCE"/>
    <w:rsid w:val="005A0025"/>
    <w:rsid w:val="005B358F"/>
    <w:rsid w:val="005E3E74"/>
    <w:rsid w:val="005F3BE4"/>
    <w:rsid w:val="00612F63"/>
    <w:rsid w:val="006177DA"/>
    <w:rsid w:val="006216BE"/>
    <w:rsid w:val="00635114"/>
    <w:rsid w:val="00651C8D"/>
    <w:rsid w:val="00662013"/>
    <w:rsid w:val="00666D96"/>
    <w:rsid w:val="006859D6"/>
    <w:rsid w:val="00687F43"/>
    <w:rsid w:val="00690E46"/>
    <w:rsid w:val="00692D8B"/>
    <w:rsid w:val="006D35EF"/>
    <w:rsid w:val="006F4A15"/>
    <w:rsid w:val="00710206"/>
    <w:rsid w:val="00765136"/>
    <w:rsid w:val="00781C6E"/>
    <w:rsid w:val="00787B21"/>
    <w:rsid w:val="00797A09"/>
    <w:rsid w:val="007A51F1"/>
    <w:rsid w:val="007C7F5A"/>
    <w:rsid w:val="007D6140"/>
    <w:rsid w:val="007E49D8"/>
    <w:rsid w:val="007F33B7"/>
    <w:rsid w:val="00800AF6"/>
    <w:rsid w:val="0081478A"/>
    <w:rsid w:val="0083225A"/>
    <w:rsid w:val="00851614"/>
    <w:rsid w:val="00855308"/>
    <w:rsid w:val="00892000"/>
    <w:rsid w:val="008B7F2F"/>
    <w:rsid w:val="008C1C3D"/>
    <w:rsid w:val="008D0F40"/>
    <w:rsid w:val="008D3EE7"/>
    <w:rsid w:val="008E1F70"/>
    <w:rsid w:val="008F5A01"/>
    <w:rsid w:val="00907396"/>
    <w:rsid w:val="00910162"/>
    <w:rsid w:val="00923090"/>
    <w:rsid w:val="00927F77"/>
    <w:rsid w:val="009321ED"/>
    <w:rsid w:val="00932B89"/>
    <w:rsid w:val="009360E8"/>
    <w:rsid w:val="00936C48"/>
    <w:rsid w:val="00941670"/>
    <w:rsid w:val="009433DE"/>
    <w:rsid w:val="0095393B"/>
    <w:rsid w:val="00960A7C"/>
    <w:rsid w:val="00982079"/>
    <w:rsid w:val="00996151"/>
    <w:rsid w:val="009A3C15"/>
    <w:rsid w:val="009A77E2"/>
    <w:rsid w:val="009C4D9D"/>
    <w:rsid w:val="009D0C75"/>
    <w:rsid w:val="009F1195"/>
    <w:rsid w:val="00A024EC"/>
    <w:rsid w:val="00A03167"/>
    <w:rsid w:val="00A06532"/>
    <w:rsid w:val="00A163F7"/>
    <w:rsid w:val="00A2469C"/>
    <w:rsid w:val="00A24DAE"/>
    <w:rsid w:val="00A44FD2"/>
    <w:rsid w:val="00A84418"/>
    <w:rsid w:val="00A918C1"/>
    <w:rsid w:val="00A931C7"/>
    <w:rsid w:val="00A957EC"/>
    <w:rsid w:val="00A96ABE"/>
    <w:rsid w:val="00AA5D82"/>
    <w:rsid w:val="00AC055A"/>
    <w:rsid w:val="00AE2C35"/>
    <w:rsid w:val="00B136B2"/>
    <w:rsid w:val="00B22B3E"/>
    <w:rsid w:val="00B27E86"/>
    <w:rsid w:val="00B32390"/>
    <w:rsid w:val="00B334FF"/>
    <w:rsid w:val="00B33A72"/>
    <w:rsid w:val="00B40D0E"/>
    <w:rsid w:val="00B5244E"/>
    <w:rsid w:val="00B56853"/>
    <w:rsid w:val="00B62140"/>
    <w:rsid w:val="00B7428A"/>
    <w:rsid w:val="00B81A47"/>
    <w:rsid w:val="00B81F98"/>
    <w:rsid w:val="00B86545"/>
    <w:rsid w:val="00BC08D6"/>
    <w:rsid w:val="00BE409B"/>
    <w:rsid w:val="00BF4962"/>
    <w:rsid w:val="00C055E0"/>
    <w:rsid w:val="00C12DEF"/>
    <w:rsid w:val="00C22168"/>
    <w:rsid w:val="00C25505"/>
    <w:rsid w:val="00C44597"/>
    <w:rsid w:val="00C51DD8"/>
    <w:rsid w:val="00C66AD8"/>
    <w:rsid w:val="00C872F9"/>
    <w:rsid w:val="00CA635F"/>
    <w:rsid w:val="00CB5E48"/>
    <w:rsid w:val="00CC61A1"/>
    <w:rsid w:val="00CE2628"/>
    <w:rsid w:val="00D10C5D"/>
    <w:rsid w:val="00D17EDE"/>
    <w:rsid w:val="00D34AA9"/>
    <w:rsid w:val="00D41BB1"/>
    <w:rsid w:val="00D66CFC"/>
    <w:rsid w:val="00D77419"/>
    <w:rsid w:val="00D860D1"/>
    <w:rsid w:val="00D92816"/>
    <w:rsid w:val="00DA0C9B"/>
    <w:rsid w:val="00DA36D7"/>
    <w:rsid w:val="00DC15BE"/>
    <w:rsid w:val="00DC4875"/>
    <w:rsid w:val="00DD55F9"/>
    <w:rsid w:val="00DF5F2F"/>
    <w:rsid w:val="00E20364"/>
    <w:rsid w:val="00E37122"/>
    <w:rsid w:val="00E421B8"/>
    <w:rsid w:val="00E428DE"/>
    <w:rsid w:val="00E62FBA"/>
    <w:rsid w:val="00E63991"/>
    <w:rsid w:val="00E7192E"/>
    <w:rsid w:val="00E76202"/>
    <w:rsid w:val="00EB54BB"/>
    <w:rsid w:val="00EC4AF6"/>
    <w:rsid w:val="00ED3224"/>
    <w:rsid w:val="00ED7289"/>
    <w:rsid w:val="00EF2202"/>
    <w:rsid w:val="00F0553D"/>
    <w:rsid w:val="00F11591"/>
    <w:rsid w:val="00F224C1"/>
    <w:rsid w:val="00F22D42"/>
    <w:rsid w:val="00F347C0"/>
    <w:rsid w:val="00F35B55"/>
    <w:rsid w:val="00F42A79"/>
    <w:rsid w:val="00F451B4"/>
    <w:rsid w:val="00F742D6"/>
    <w:rsid w:val="00F75B6D"/>
    <w:rsid w:val="00F82DFA"/>
    <w:rsid w:val="00F92A72"/>
    <w:rsid w:val="00FB0A46"/>
    <w:rsid w:val="00FB3A74"/>
    <w:rsid w:val="00FC5697"/>
    <w:rsid w:val="00FD473B"/>
    <w:rsid w:val="00FF3E1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8B7F2F"/>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essunaspaziatura">
    <w:name w:val="No Spacing"/>
    <w:uiPriority w:val="1"/>
    <w:qFormat/>
    <w:rsid w:val="004D2786"/>
    <w:pPr>
      <w:spacing w:after="0" w:line="240" w:lineRule="auto"/>
    </w:pPr>
  </w:style>
  <w:style w:type="paragraph" w:styleId="Testofumetto">
    <w:name w:val="Balloon Text"/>
    <w:basedOn w:val="Normale"/>
    <w:link w:val="TestofumettoCarattere"/>
    <w:uiPriority w:val="99"/>
    <w:semiHidden/>
    <w:unhideWhenUsed/>
    <w:rsid w:val="00B5685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56853"/>
    <w:rPr>
      <w:rFonts w:ascii="Tahoma" w:hAnsi="Tahoma" w:cs="Tahoma"/>
      <w:sz w:val="16"/>
      <w:szCs w:val="16"/>
    </w:rPr>
  </w:style>
  <w:style w:type="paragraph" w:styleId="Intestazione">
    <w:name w:val="header"/>
    <w:basedOn w:val="Normale"/>
    <w:link w:val="IntestazioneCarattere"/>
    <w:uiPriority w:val="99"/>
    <w:unhideWhenUsed/>
    <w:rsid w:val="00F0553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0553D"/>
  </w:style>
  <w:style w:type="paragraph" w:styleId="Pidipagina">
    <w:name w:val="footer"/>
    <w:basedOn w:val="Normale"/>
    <w:link w:val="PidipaginaCarattere"/>
    <w:uiPriority w:val="99"/>
    <w:unhideWhenUsed/>
    <w:rsid w:val="00F0553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0553D"/>
  </w:style>
  <w:style w:type="paragraph" w:customStyle="1" w:styleId="Stile1">
    <w:name w:val="Stile1"/>
    <w:basedOn w:val="Pidipagina"/>
    <w:link w:val="Stile1Carattere"/>
    <w:qFormat/>
    <w:rsid w:val="005F3BE4"/>
    <w:pPr>
      <w:jc w:val="center"/>
    </w:pPr>
    <w:rPr>
      <w:sz w:val="18"/>
      <w:szCs w:val="21"/>
    </w:rPr>
  </w:style>
  <w:style w:type="character" w:customStyle="1" w:styleId="Stile1Carattere">
    <w:name w:val="Stile1 Carattere"/>
    <w:basedOn w:val="PidipaginaCarattere"/>
    <w:link w:val="Stile1"/>
    <w:rsid w:val="005F3BE4"/>
    <w:rPr>
      <w:sz w:val="18"/>
      <w:szCs w:val="21"/>
    </w:rPr>
  </w:style>
  <w:style w:type="paragraph" w:customStyle="1" w:styleId="Default">
    <w:name w:val="Default"/>
    <w:rsid w:val="00923090"/>
    <w:pPr>
      <w:autoSpaceDE w:val="0"/>
      <w:autoSpaceDN w:val="0"/>
      <w:adjustRightInd w:val="0"/>
      <w:spacing w:after="0" w:line="240" w:lineRule="auto"/>
    </w:pPr>
    <w:rPr>
      <w:rFonts w:ascii="Verdana" w:eastAsiaTheme="minorEastAsia" w:hAnsi="Verdana" w:cs="Verdana"/>
      <w:color w:val="000000"/>
      <w:sz w:val="24"/>
      <w:szCs w:val="24"/>
      <w:lang w:eastAsia="it-IT"/>
    </w:rPr>
  </w:style>
  <w:style w:type="character" w:customStyle="1" w:styleId="st1">
    <w:name w:val="st1"/>
    <w:basedOn w:val="Carpredefinitoparagrafo"/>
    <w:rsid w:val="005E3E74"/>
  </w:style>
  <w:style w:type="paragraph" w:styleId="NormaleWeb">
    <w:name w:val="Normal (Web)"/>
    <w:basedOn w:val="Normale"/>
    <w:uiPriority w:val="99"/>
    <w:semiHidden/>
    <w:unhideWhenUsed/>
    <w:rsid w:val="00B81A47"/>
    <w:pPr>
      <w:spacing w:before="100" w:beforeAutospacing="1" w:after="100" w:afterAutospacing="1" w:line="240" w:lineRule="auto"/>
    </w:pPr>
    <w:rPr>
      <w:rFonts w:ascii="Times New Roman" w:eastAsiaTheme="minorEastAsia" w:hAnsi="Times New Roman" w:cs="Times New Roman"/>
      <w:sz w:val="24"/>
      <w:szCs w:val="24"/>
      <w:lang w:eastAsia="it-IT"/>
    </w:rPr>
  </w:style>
  <w:style w:type="paragraph" w:styleId="Paragrafoelenco">
    <w:name w:val="List Paragraph"/>
    <w:basedOn w:val="Normale"/>
    <w:uiPriority w:val="34"/>
    <w:qFormat/>
    <w:rsid w:val="0098207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8B7F2F"/>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essunaspaziatura">
    <w:name w:val="No Spacing"/>
    <w:uiPriority w:val="1"/>
    <w:qFormat/>
    <w:rsid w:val="004D2786"/>
    <w:pPr>
      <w:spacing w:after="0" w:line="240" w:lineRule="auto"/>
    </w:pPr>
  </w:style>
  <w:style w:type="paragraph" w:styleId="Testofumetto">
    <w:name w:val="Balloon Text"/>
    <w:basedOn w:val="Normale"/>
    <w:link w:val="TestofumettoCarattere"/>
    <w:uiPriority w:val="99"/>
    <w:semiHidden/>
    <w:unhideWhenUsed/>
    <w:rsid w:val="00B5685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56853"/>
    <w:rPr>
      <w:rFonts w:ascii="Tahoma" w:hAnsi="Tahoma" w:cs="Tahoma"/>
      <w:sz w:val="16"/>
      <w:szCs w:val="16"/>
    </w:rPr>
  </w:style>
  <w:style w:type="paragraph" w:styleId="Intestazione">
    <w:name w:val="header"/>
    <w:basedOn w:val="Normale"/>
    <w:link w:val="IntestazioneCarattere"/>
    <w:uiPriority w:val="99"/>
    <w:unhideWhenUsed/>
    <w:rsid w:val="00F0553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0553D"/>
  </w:style>
  <w:style w:type="paragraph" w:styleId="Pidipagina">
    <w:name w:val="footer"/>
    <w:basedOn w:val="Normale"/>
    <w:link w:val="PidipaginaCarattere"/>
    <w:uiPriority w:val="99"/>
    <w:unhideWhenUsed/>
    <w:rsid w:val="00F0553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0553D"/>
  </w:style>
  <w:style w:type="paragraph" w:customStyle="1" w:styleId="Stile1">
    <w:name w:val="Stile1"/>
    <w:basedOn w:val="Pidipagina"/>
    <w:link w:val="Stile1Carattere"/>
    <w:qFormat/>
    <w:rsid w:val="005F3BE4"/>
    <w:pPr>
      <w:jc w:val="center"/>
    </w:pPr>
    <w:rPr>
      <w:sz w:val="18"/>
      <w:szCs w:val="21"/>
    </w:rPr>
  </w:style>
  <w:style w:type="character" w:customStyle="1" w:styleId="Stile1Carattere">
    <w:name w:val="Stile1 Carattere"/>
    <w:basedOn w:val="PidipaginaCarattere"/>
    <w:link w:val="Stile1"/>
    <w:rsid w:val="005F3BE4"/>
    <w:rPr>
      <w:sz w:val="18"/>
      <w:szCs w:val="21"/>
    </w:rPr>
  </w:style>
  <w:style w:type="paragraph" w:customStyle="1" w:styleId="Default">
    <w:name w:val="Default"/>
    <w:rsid w:val="00923090"/>
    <w:pPr>
      <w:autoSpaceDE w:val="0"/>
      <w:autoSpaceDN w:val="0"/>
      <w:adjustRightInd w:val="0"/>
      <w:spacing w:after="0" w:line="240" w:lineRule="auto"/>
    </w:pPr>
    <w:rPr>
      <w:rFonts w:ascii="Verdana" w:eastAsiaTheme="minorEastAsia" w:hAnsi="Verdana" w:cs="Verdana"/>
      <w:color w:val="000000"/>
      <w:sz w:val="24"/>
      <w:szCs w:val="24"/>
      <w:lang w:eastAsia="it-IT"/>
    </w:rPr>
  </w:style>
  <w:style w:type="character" w:customStyle="1" w:styleId="st1">
    <w:name w:val="st1"/>
    <w:basedOn w:val="Carpredefinitoparagrafo"/>
    <w:rsid w:val="005E3E74"/>
  </w:style>
  <w:style w:type="paragraph" w:styleId="NormaleWeb">
    <w:name w:val="Normal (Web)"/>
    <w:basedOn w:val="Normale"/>
    <w:uiPriority w:val="99"/>
    <w:semiHidden/>
    <w:unhideWhenUsed/>
    <w:rsid w:val="00B81A47"/>
    <w:pPr>
      <w:spacing w:before="100" w:beforeAutospacing="1" w:after="100" w:afterAutospacing="1" w:line="240" w:lineRule="auto"/>
    </w:pPr>
    <w:rPr>
      <w:rFonts w:ascii="Times New Roman" w:eastAsiaTheme="minorEastAsia" w:hAnsi="Times New Roman" w:cs="Times New Roman"/>
      <w:sz w:val="24"/>
      <w:szCs w:val="24"/>
      <w:lang w:eastAsia="it-IT"/>
    </w:rPr>
  </w:style>
  <w:style w:type="paragraph" w:styleId="Paragrafoelenco">
    <w:name w:val="List Paragraph"/>
    <w:basedOn w:val="Normale"/>
    <w:uiPriority w:val="34"/>
    <w:qFormat/>
    <w:rsid w:val="0098207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5480159">
      <w:bodyDiv w:val="1"/>
      <w:marLeft w:val="0"/>
      <w:marRight w:val="0"/>
      <w:marTop w:val="0"/>
      <w:marBottom w:val="0"/>
      <w:divBdr>
        <w:top w:val="none" w:sz="0" w:space="0" w:color="auto"/>
        <w:left w:val="none" w:sz="0" w:space="0" w:color="auto"/>
        <w:bottom w:val="none" w:sz="0" w:space="0" w:color="auto"/>
        <w:right w:val="none" w:sz="0" w:space="0" w:color="auto"/>
      </w:divBdr>
    </w:div>
    <w:div w:id="629559463">
      <w:bodyDiv w:val="1"/>
      <w:marLeft w:val="0"/>
      <w:marRight w:val="0"/>
      <w:marTop w:val="0"/>
      <w:marBottom w:val="0"/>
      <w:divBdr>
        <w:top w:val="none" w:sz="0" w:space="0" w:color="auto"/>
        <w:left w:val="none" w:sz="0" w:space="0" w:color="auto"/>
        <w:bottom w:val="none" w:sz="0" w:space="0" w:color="auto"/>
        <w:right w:val="none" w:sz="0" w:space="0" w:color="auto"/>
      </w:divBdr>
    </w:div>
    <w:div w:id="650328060">
      <w:bodyDiv w:val="1"/>
      <w:marLeft w:val="0"/>
      <w:marRight w:val="0"/>
      <w:marTop w:val="0"/>
      <w:marBottom w:val="0"/>
      <w:divBdr>
        <w:top w:val="none" w:sz="0" w:space="0" w:color="auto"/>
        <w:left w:val="none" w:sz="0" w:space="0" w:color="auto"/>
        <w:bottom w:val="none" w:sz="0" w:space="0" w:color="auto"/>
        <w:right w:val="none" w:sz="0" w:space="0" w:color="auto"/>
      </w:divBdr>
    </w:div>
    <w:div w:id="843739347">
      <w:bodyDiv w:val="1"/>
      <w:marLeft w:val="0"/>
      <w:marRight w:val="0"/>
      <w:marTop w:val="0"/>
      <w:marBottom w:val="0"/>
      <w:divBdr>
        <w:top w:val="none" w:sz="0" w:space="0" w:color="auto"/>
        <w:left w:val="none" w:sz="0" w:space="0" w:color="auto"/>
        <w:bottom w:val="none" w:sz="0" w:space="0" w:color="auto"/>
        <w:right w:val="none" w:sz="0" w:space="0" w:color="auto"/>
      </w:divBdr>
    </w:div>
    <w:div w:id="923025490">
      <w:bodyDiv w:val="1"/>
      <w:marLeft w:val="0"/>
      <w:marRight w:val="0"/>
      <w:marTop w:val="0"/>
      <w:marBottom w:val="0"/>
      <w:divBdr>
        <w:top w:val="none" w:sz="0" w:space="0" w:color="auto"/>
        <w:left w:val="none" w:sz="0" w:space="0" w:color="auto"/>
        <w:bottom w:val="none" w:sz="0" w:space="0" w:color="auto"/>
        <w:right w:val="none" w:sz="0" w:space="0" w:color="auto"/>
      </w:divBdr>
    </w:div>
    <w:div w:id="1583100242">
      <w:bodyDiv w:val="1"/>
      <w:marLeft w:val="0"/>
      <w:marRight w:val="0"/>
      <w:marTop w:val="0"/>
      <w:marBottom w:val="0"/>
      <w:divBdr>
        <w:top w:val="none" w:sz="0" w:space="0" w:color="auto"/>
        <w:left w:val="none" w:sz="0" w:space="0" w:color="auto"/>
        <w:bottom w:val="none" w:sz="0" w:space="0" w:color="auto"/>
        <w:right w:val="none" w:sz="0" w:space="0" w:color="auto"/>
      </w:divBdr>
    </w:div>
    <w:div w:id="1621182808">
      <w:bodyDiv w:val="1"/>
      <w:marLeft w:val="0"/>
      <w:marRight w:val="0"/>
      <w:marTop w:val="0"/>
      <w:marBottom w:val="0"/>
      <w:divBdr>
        <w:top w:val="none" w:sz="0" w:space="0" w:color="auto"/>
        <w:left w:val="none" w:sz="0" w:space="0" w:color="auto"/>
        <w:bottom w:val="none" w:sz="0" w:space="0" w:color="auto"/>
        <w:right w:val="none" w:sz="0" w:space="0" w:color="auto"/>
      </w:divBdr>
    </w:div>
    <w:div w:id="1863517554">
      <w:bodyDiv w:val="1"/>
      <w:marLeft w:val="0"/>
      <w:marRight w:val="0"/>
      <w:marTop w:val="0"/>
      <w:marBottom w:val="0"/>
      <w:divBdr>
        <w:top w:val="none" w:sz="0" w:space="0" w:color="auto"/>
        <w:left w:val="none" w:sz="0" w:space="0" w:color="auto"/>
        <w:bottom w:val="none" w:sz="0" w:space="0" w:color="auto"/>
        <w:right w:val="none" w:sz="0" w:space="0" w:color="auto"/>
      </w:divBdr>
    </w:div>
    <w:div w:id="1879002673">
      <w:bodyDiv w:val="1"/>
      <w:marLeft w:val="0"/>
      <w:marRight w:val="0"/>
      <w:marTop w:val="0"/>
      <w:marBottom w:val="0"/>
      <w:divBdr>
        <w:top w:val="none" w:sz="0" w:space="0" w:color="auto"/>
        <w:left w:val="none" w:sz="0" w:space="0" w:color="auto"/>
        <w:bottom w:val="none" w:sz="0" w:space="0" w:color="auto"/>
        <w:right w:val="none" w:sz="0" w:space="0" w:color="auto"/>
      </w:divBdr>
    </w:div>
    <w:div w:id="2094816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8.xml"/><Relationship Id="rId117" Type="http://schemas.openxmlformats.org/officeDocument/2006/relationships/footer" Target="footer2.xml"/><Relationship Id="rId21" Type="http://schemas.openxmlformats.org/officeDocument/2006/relationships/chart" Target="charts/chart13.xml"/><Relationship Id="rId42" Type="http://schemas.openxmlformats.org/officeDocument/2006/relationships/chart" Target="charts/chart34.xml"/><Relationship Id="rId47" Type="http://schemas.openxmlformats.org/officeDocument/2006/relationships/chart" Target="charts/chart39.xml"/><Relationship Id="rId63" Type="http://schemas.openxmlformats.org/officeDocument/2006/relationships/chart" Target="charts/chart55.xml"/><Relationship Id="rId68" Type="http://schemas.openxmlformats.org/officeDocument/2006/relationships/chart" Target="charts/chart60.xml"/><Relationship Id="rId84" Type="http://schemas.openxmlformats.org/officeDocument/2006/relationships/image" Target="media/image3.jpeg"/><Relationship Id="rId89" Type="http://schemas.openxmlformats.org/officeDocument/2006/relationships/chart" Target="charts/chart75.xml"/><Relationship Id="rId112" Type="http://schemas.openxmlformats.org/officeDocument/2006/relationships/chart" Target="charts/chart90.xml"/><Relationship Id="rId16" Type="http://schemas.openxmlformats.org/officeDocument/2006/relationships/chart" Target="charts/chart8.xml"/><Relationship Id="rId107" Type="http://schemas.openxmlformats.org/officeDocument/2006/relationships/image" Target="media/image11.png"/><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chart" Target="charts/chart32.xml"/><Relationship Id="rId45" Type="http://schemas.openxmlformats.org/officeDocument/2006/relationships/chart" Target="charts/chart37.xml"/><Relationship Id="rId53" Type="http://schemas.openxmlformats.org/officeDocument/2006/relationships/chart" Target="charts/chart45.xml"/><Relationship Id="rId58" Type="http://schemas.openxmlformats.org/officeDocument/2006/relationships/chart" Target="charts/chart50.xml"/><Relationship Id="rId66" Type="http://schemas.openxmlformats.org/officeDocument/2006/relationships/chart" Target="charts/chart58.xml"/><Relationship Id="rId74" Type="http://schemas.openxmlformats.org/officeDocument/2006/relationships/chart" Target="charts/chart66.xml"/><Relationship Id="rId79" Type="http://schemas.openxmlformats.org/officeDocument/2006/relationships/image" Target="media/image1.jpeg"/><Relationship Id="rId87" Type="http://schemas.openxmlformats.org/officeDocument/2006/relationships/chart" Target="charts/chart73.xml"/><Relationship Id="rId102" Type="http://schemas.openxmlformats.org/officeDocument/2006/relationships/image" Target="media/image7.png"/><Relationship Id="rId110" Type="http://schemas.openxmlformats.org/officeDocument/2006/relationships/chart" Target="charts/chart88.xml"/><Relationship Id="rId115" Type="http://schemas.openxmlformats.org/officeDocument/2006/relationships/chart" Target="charts/chart91.xml"/><Relationship Id="rId5" Type="http://schemas.openxmlformats.org/officeDocument/2006/relationships/settings" Target="settings.xml"/><Relationship Id="rId61" Type="http://schemas.openxmlformats.org/officeDocument/2006/relationships/chart" Target="charts/chart53.xml"/><Relationship Id="rId82" Type="http://schemas.openxmlformats.org/officeDocument/2006/relationships/chart" Target="charts/chart72.xml"/><Relationship Id="rId90" Type="http://schemas.openxmlformats.org/officeDocument/2006/relationships/chart" Target="charts/chart76.xml"/><Relationship Id="rId95" Type="http://schemas.openxmlformats.org/officeDocument/2006/relationships/chart" Target="charts/chart81.xml"/><Relationship Id="rId19" Type="http://schemas.openxmlformats.org/officeDocument/2006/relationships/chart" Target="charts/chart1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chart" Target="charts/chart35.xml"/><Relationship Id="rId48" Type="http://schemas.openxmlformats.org/officeDocument/2006/relationships/chart" Target="charts/chart40.xml"/><Relationship Id="rId56" Type="http://schemas.openxmlformats.org/officeDocument/2006/relationships/chart" Target="charts/chart48.xml"/><Relationship Id="rId64" Type="http://schemas.openxmlformats.org/officeDocument/2006/relationships/chart" Target="charts/chart56.xml"/><Relationship Id="rId69" Type="http://schemas.openxmlformats.org/officeDocument/2006/relationships/chart" Target="charts/chart61.xml"/><Relationship Id="rId77" Type="http://schemas.openxmlformats.org/officeDocument/2006/relationships/chart" Target="charts/chart69.xml"/><Relationship Id="rId100" Type="http://schemas.openxmlformats.org/officeDocument/2006/relationships/image" Target="media/image5.png"/><Relationship Id="rId105" Type="http://schemas.openxmlformats.org/officeDocument/2006/relationships/image" Target="media/image9.png"/><Relationship Id="rId113" Type="http://schemas.openxmlformats.org/officeDocument/2006/relationships/image" Target="media/image12.png"/><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chart" Target="charts/chart43.xml"/><Relationship Id="rId72" Type="http://schemas.openxmlformats.org/officeDocument/2006/relationships/chart" Target="charts/chart64.xml"/><Relationship Id="rId80" Type="http://schemas.openxmlformats.org/officeDocument/2006/relationships/chart" Target="charts/chart70.xml"/><Relationship Id="rId85" Type="http://schemas.openxmlformats.org/officeDocument/2006/relationships/hyperlink" Target="http://www.google.it/url?sa=i&amp;rct=j&amp;q=&amp;esrc=s&amp;frm=1&amp;source=images&amp;cd=&amp;cad=rja&amp;uact=8&amp;ved=0ahUKEwi2htnD34vMAhUD0xQKHdUSC6gQjRwIBw&amp;url=http://www.paesionline.it/mantova/mappa_mantova.asp&amp;bvm=bv.119408272,d.d24&amp;psig=AFQjCNEbxMyX-VaDN_bQdHPmGzRPM01umA&amp;ust=1460641418066000" TargetMode="External"/><Relationship Id="rId93" Type="http://schemas.openxmlformats.org/officeDocument/2006/relationships/chart" Target="charts/chart79.xml"/><Relationship Id="rId98" Type="http://schemas.openxmlformats.org/officeDocument/2006/relationships/chart" Target="charts/chart84.xml"/><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chart" Target="charts/chart30.xml"/><Relationship Id="rId46" Type="http://schemas.openxmlformats.org/officeDocument/2006/relationships/chart" Target="charts/chart38.xml"/><Relationship Id="rId59" Type="http://schemas.openxmlformats.org/officeDocument/2006/relationships/chart" Target="charts/chart51.xml"/><Relationship Id="rId67" Type="http://schemas.openxmlformats.org/officeDocument/2006/relationships/chart" Target="charts/chart59.xml"/><Relationship Id="rId103" Type="http://schemas.openxmlformats.org/officeDocument/2006/relationships/image" Target="media/image8.png"/><Relationship Id="rId108" Type="http://schemas.openxmlformats.org/officeDocument/2006/relationships/chart" Target="charts/chart87.xml"/><Relationship Id="rId116" Type="http://schemas.openxmlformats.org/officeDocument/2006/relationships/chart" Target="charts/chart92.xml"/><Relationship Id="rId20" Type="http://schemas.openxmlformats.org/officeDocument/2006/relationships/chart" Target="charts/chart12.xml"/><Relationship Id="rId41" Type="http://schemas.openxmlformats.org/officeDocument/2006/relationships/chart" Target="charts/chart33.xml"/><Relationship Id="rId54" Type="http://schemas.openxmlformats.org/officeDocument/2006/relationships/chart" Target="charts/chart46.xml"/><Relationship Id="rId62" Type="http://schemas.openxmlformats.org/officeDocument/2006/relationships/chart" Target="charts/chart54.xml"/><Relationship Id="rId70" Type="http://schemas.openxmlformats.org/officeDocument/2006/relationships/chart" Target="charts/chart62.xml"/><Relationship Id="rId75" Type="http://schemas.openxmlformats.org/officeDocument/2006/relationships/chart" Target="charts/chart67.xml"/><Relationship Id="rId83" Type="http://schemas.openxmlformats.org/officeDocument/2006/relationships/image" Target="media/image2.png"/><Relationship Id="rId88" Type="http://schemas.openxmlformats.org/officeDocument/2006/relationships/chart" Target="charts/chart74.xml"/><Relationship Id="rId91" Type="http://schemas.openxmlformats.org/officeDocument/2006/relationships/chart" Target="charts/chart77.xml"/><Relationship Id="rId96" Type="http://schemas.openxmlformats.org/officeDocument/2006/relationships/chart" Target="charts/chart82.xml"/><Relationship Id="rId111" Type="http://schemas.openxmlformats.org/officeDocument/2006/relationships/chart" Target="charts/chart8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49" Type="http://schemas.openxmlformats.org/officeDocument/2006/relationships/chart" Target="charts/chart41.xml"/><Relationship Id="rId57" Type="http://schemas.openxmlformats.org/officeDocument/2006/relationships/chart" Target="charts/chart49.xml"/><Relationship Id="rId106" Type="http://schemas.openxmlformats.org/officeDocument/2006/relationships/image" Target="media/image10.png"/><Relationship Id="rId114" Type="http://schemas.openxmlformats.org/officeDocument/2006/relationships/image" Target="media/image13.png"/><Relationship Id="rId119" Type="http://schemas.openxmlformats.org/officeDocument/2006/relationships/theme" Target="theme/theme1.xml"/><Relationship Id="rId10" Type="http://schemas.openxmlformats.org/officeDocument/2006/relationships/chart" Target="charts/chart2.xml"/><Relationship Id="rId31" Type="http://schemas.openxmlformats.org/officeDocument/2006/relationships/chart" Target="charts/chart23.xml"/><Relationship Id="rId44" Type="http://schemas.openxmlformats.org/officeDocument/2006/relationships/chart" Target="charts/chart36.xml"/><Relationship Id="rId52" Type="http://schemas.openxmlformats.org/officeDocument/2006/relationships/chart" Target="charts/chart44.xml"/><Relationship Id="rId60" Type="http://schemas.openxmlformats.org/officeDocument/2006/relationships/chart" Target="charts/chart52.xml"/><Relationship Id="rId65" Type="http://schemas.openxmlformats.org/officeDocument/2006/relationships/chart" Target="charts/chart57.xml"/><Relationship Id="rId73" Type="http://schemas.openxmlformats.org/officeDocument/2006/relationships/chart" Target="charts/chart65.xml"/><Relationship Id="rId78" Type="http://schemas.openxmlformats.org/officeDocument/2006/relationships/hyperlink" Target="http://viaggidialex.altervista.org/imm/mondoc.htm" TargetMode="External"/><Relationship Id="rId81" Type="http://schemas.openxmlformats.org/officeDocument/2006/relationships/chart" Target="charts/chart71.xml"/><Relationship Id="rId86" Type="http://schemas.openxmlformats.org/officeDocument/2006/relationships/image" Target="media/image4.gif"/><Relationship Id="rId94" Type="http://schemas.openxmlformats.org/officeDocument/2006/relationships/chart" Target="charts/chart80.xml"/><Relationship Id="rId99" Type="http://schemas.openxmlformats.org/officeDocument/2006/relationships/chart" Target="charts/chart85.xml"/><Relationship Id="rId101"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chart" Target="charts/chart1.xml"/><Relationship Id="rId13" Type="http://schemas.openxmlformats.org/officeDocument/2006/relationships/chart" Target="charts/chart5.xml"/><Relationship Id="rId18" Type="http://schemas.openxmlformats.org/officeDocument/2006/relationships/chart" Target="charts/chart10.xml"/><Relationship Id="rId39" Type="http://schemas.openxmlformats.org/officeDocument/2006/relationships/chart" Target="charts/chart31.xml"/><Relationship Id="rId109" Type="http://schemas.openxmlformats.org/officeDocument/2006/relationships/footer" Target="footer1.xml"/><Relationship Id="rId34" Type="http://schemas.openxmlformats.org/officeDocument/2006/relationships/chart" Target="charts/chart26.xml"/><Relationship Id="rId50" Type="http://schemas.openxmlformats.org/officeDocument/2006/relationships/chart" Target="charts/chart42.xml"/><Relationship Id="rId55" Type="http://schemas.openxmlformats.org/officeDocument/2006/relationships/chart" Target="charts/chart47.xml"/><Relationship Id="rId76" Type="http://schemas.openxmlformats.org/officeDocument/2006/relationships/chart" Target="charts/chart68.xml"/><Relationship Id="rId97" Type="http://schemas.openxmlformats.org/officeDocument/2006/relationships/chart" Target="charts/chart83.xml"/><Relationship Id="rId104" Type="http://schemas.openxmlformats.org/officeDocument/2006/relationships/chart" Target="charts/chart86.xml"/><Relationship Id="rId7" Type="http://schemas.openxmlformats.org/officeDocument/2006/relationships/footnotes" Target="footnotes.xml"/><Relationship Id="rId71" Type="http://schemas.openxmlformats.org/officeDocument/2006/relationships/chart" Target="charts/chart63.xml"/><Relationship Id="rId92" Type="http://schemas.openxmlformats.org/officeDocument/2006/relationships/chart" Target="charts/chart78.xml"/><Relationship Id="rId2" Type="http://schemas.openxmlformats.org/officeDocument/2006/relationships/numbering" Target="numbering.xml"/><Relationship Id="rId29" Type="http://schemas.openxmlformats.org/officeDocument/2006/relationships/chart" Target="charts/chart21.xml"/></Relationships>
</file>

<file path=word/charts/_rels/chart1.xml.rels><?xml version="1.0" encoding="UTF-8" standalone="yes"?>
<Relationships xmlns="http://schemas.openxmlformats.org/package/2006/relationships"><Relationship Id="rId2" Type="http://schemas.openxmlformats.org/officeDocument/2006/relationships/oleObject" Target="Grafico%20in%20Microsoft%20Word"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embeddings/oleObject6.bin"/></Relationships>
</file>

<file path=word/charts/_rels/chart11.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themeOverride" Target="../theme/themeOverride6.xml"/></Relationships>
</file>

<file path=word/charts/_rels/chart12.xml.rels><?xml version="1.0" encoding="UTF-8" standalone="yes"?>
<Relationships xmlns="http://schemas.openxmlformats.org/package/2006/relationships"><Relationship Id="rId1" Type="http://schemas.openxmlformats.org/officeDocument/2006/relationships/oleObject" Target="../embeddings/oleObject8.bin"/></Relationships>
</file>

<file path=word/charts/_rels/chart13.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21.xml.rels><?xml version="1.0" encoding="UTF-8" standalone="yes"?>
<Relationships xmlns="http://schemas.openxmlformats.org/package/2006/relationships"><Relationship Id="rId1" Type="http://schemas.openxmlformats.org/officeDocument/2006/relationships/oleObject" Target="file:///C:\Users\pironivanda\Desktop\POA\fegato.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pironivanda\Desktop\POA\fegato.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27.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2.xml"/></Relationships>
</file>

<file path=word/charts/_rels/chart30.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pironivanda\Desktop\POA\fegato.xlsx" TargetMode="External"/></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4.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40.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themeOverride" Target="../theme/themeOverride7.xml"/></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42.xml.rels><?xml version="1.0" encoding="UTF-8" standalone="yes"?>
<Relationships xmlns="http://schemas.openxmlformats.org/package/2006/relationships"><Relationship Id="rId2" Type="http://schemas.openxmlformats.org/officeDocument/2006/relationships/oleObject" Target="Grafico%20in%20Microsoft%20Word" TargetMode="External"/><Relationship Id="rId1" Type="http://schemas.openxmlformats.org/officeDocument/2006/relationships/themeOverride" Target="../theme/themeOverride8.xml"/></Relationships>
</file>

<file path=word/charts/_rels/chart43.xml.rels><?xml version="1.0" encoding="UTF-8" standalone="yes"?>
<Relationships xmlns="http://schemas.openxmlformats.org/package/2006/relationships"><Relationship Id="rId2" Type="http://schemas.openxmlformats.org/officeDocument/2006/relationships/oleObject" Target="Grafico%20in%20Microsoft%20Word" TargetMode="External"/><Relationship Id="rId1" Type="http://schemas.openxmlformats.org/officeDocument/2006/relationships/themeOverride" Target="../theme/themeOverride9.xml"/></Relationships>
</file>

<file path=word/charts/_rels/chart44.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pironivanda\Desktop\POA\CONTESTO\Copia%20di%20TAB_TASSI_SPE_BDA%20-%202015.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pironivanda\Desktop\POA\CONTESTO\Copia%20di%20TAB_TASSI_SPE_BDA%20-%202015.xls" TargetMode="External"/></Relationships>
</file>

<file path=word/charts/_rels/chart5.xml.rels><?xml version="1.0" encoding="UTF-8" standalone="yes"?>
<Relationships xmlns="http://schemas.openxmlformats.org/package/2006/relationships"><Relationship Id="rId2" Type="http://schemas.openxmlformats.org/officeDocument/2006/relationships/oleObject" Target="Grafico%20in%20Microsoft%20Word" TargetMode="External"/><Relationship Id="rId1" Type="http://schemas.openxmlformats.org/officeDocument/2006/relationships/themeOverride" Target="../theme/themeOverride3.xml"/></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51.xml.rels><?xml version="1.0" encoding="UTF-8" standalone="yes"?>
<Relationships xmlns="http://schemas.openxmlformats.org/package/2006/relationships"><Relationship Id="rId1" Type="http://schemas.openxmlformats.org/officeDocument/2006/relationships/oleObject" Target="file:///C:\Users\pironivanda\Desktop\POA\CONTESTO\Copia%20di%20TAB_TASSI_SPE_BDA%20-%202015.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embeddings/oleObject10.bin"/></Relationships>
</file>

<file path=word/charts/_rels/chart53.xml.rels><?xml version="1.0" encoding="UTF-8" standalone="yes"?>
<Relationships xmlns="http://schemas.openxmlformats.org/package/2006/relationships"><Relationship Id="rId2" Type="http://schemas.openxmlformats.org/officeDocument/2006/relationships/oleObject" Target="Grafico%20in%20Microsoft%20Word" TargetMode="External"/><Relationship Id="rId1" Type="http://schemas.openxmlformats.org/officeDocument/2006/relationships/themeOverride" Target="../theme/themeOverride10.xml"/></Relationships>
</file>

<file path=word/charts/_rels/chart54.xml.rels><?xml version="1.0" encoding="UTF-8" standalone="yes"?>
<Relationships xmlns="http://schemas.openxmlformats.org/package/2006/relationships"><Relationship Id="rId2" Type="http://schemas.openxmlformats.org/officeDocument/2006/relationships/oleObject" Target="Grafico%20in%20Microsoft%20Word" TargetMode="External"/><Relationship Id="rId1" Type="http://schemas.openxmlformats.org/officeDocument/2006/relationships/themeOverride" Target="../theme/themeOverride11.xml"/></Relationships>
</file>

<file path=word/charts/_rels/chart55.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59.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6.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60.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62.xml.rels><?xml version="1.0" encoding="UTF-8" standalone="yes"?>
<Relationships xmlns="http://schemas.openxmlformats.org/package/2006/relationships"><Relationship Id="rId2" Type="http://schemas.openxmlformats.org/officeDocument/2006/relationships/oleObject" Target="Grafico%20in%20Microsoft%20Word" TargetMode="External"/><Relationship Id="rId1" Type="http://schemas.openxmlformats.org/officeDocument/2006/relationships/themeOverride" Target="../theme/themeOverride12.xml"/></Relationships>
</file>

<file path=word/charts/_rels/chart63.xml.rels><?xml version="1.0" encoding="UTF-8" standalone="yes"?>
<Relationships xmlns="http://schemas.openxmlformats.org/package/2006/relationships"><Relationship Id="rId2" Type="http://schemas.openxmlformats.org/officeDocument/2006/relationships/oleObject" Target="Grafico%20in%20Microsoft%20Word" TargetMode="External"/><Relationship Id="rId1" Type="http://schemas.openxmlformats.org/officeDocument/2006/relationships/themeOverride" Target="../theme/themeOverride13.xml"/></Relationships>
</file>

<file path=word/charts/_rels/chart64.xml.rels><?xml version="1.0" encoding="UTF-8" standalone="yes"?>
<Relationships xmlns="http://schemas.openxmlformats.org/package/2006/relationships"><Relationship Id="rId1" Type="http://schemas.openxmlformats.org/officeDocument/2006/relationships/oleObject" Target="file:///C:\Users\pironivanda\Desktop\POA\CONTESTO\Tabelle%20e%20grafici%20mortalit&#224;per%20PIL.xlsx" TargetMode="External"/></Relationships>
</file>

<file path=word/charts/_rels/chart65.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66.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67.xml.rels><?xml version="1.0" encoding="UTF-8" standalone="yes"?>
<Relationships xmlns="http://schemas.openxmlformats.org/package/2006/relationships"><Relationship Id="rId1" Type="http://schemas.openxmlformats.org/officeDocument/2006/relationships/oleObject" Target="file:///C:\Users\pironivanda\Desktop\POA\CONTESTO\Trend%20mortalit&#224;%20per%20PIL.xlsx" TargetMode="Externa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4.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5.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4.xml"/></Relationships>
</file>

<file path=word/charts/_rels/chart70.xml.rels><?xml version="1.0" encoding="UTF-8" standalone="yes"?>
<Relationships xmlns="http://schemas.openxmlformats.org/package/2006/relationships"><Relationship Id="rId1" Type="http://schemas.openxmlformats.org/officeDocument/2006/relationships/oleObject" Target="file:///C:\Users\pironivanda\CONVEGNO_BARLETTA\CALCOLI.xlsx" TargetMode="External"/></Relationships>
</file>

<file path=word/charts/_rels/chart71.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72.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73.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16.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17.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18.xml"/></Relationships>
</file>

<file path=word/charts/_rels/chart77.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78.xml.rels><?xml version="1.0" encoding="UTF-8" standalone="yes"?>
<Relationships xmlns="http://schemas.openxmlformats.org/package/2006/relationships"><Relationship Id="rId1" Type="http://schemas.openxmlformats.org/officeDocument/2006/relationships/oleObject" Target="../embeddings/oleObject11.bin"/></Relationships>
</file>

<file path=word/charts/_rels/chart79.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19.xml"/></Relationships>
</file>

<file path=word/charts/_rels/chart8.xml.rels><?xml version="1.0" encoding="UTF-8" standalone="yes"?>
<Relationships xmlns="http://schemas.openxmlformats.org/package/2006/relationships"><Relationship Id="rId1" Type="http://schemas.openxmlformats.org/officeDocument/2006/relationships/oleObject" Target="../embeddings/oleObject5.bin"/></Relationships>
</file>

<file path=word/charts/_rels/chart8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81.xml.rels><?xml version="1.0" encoding="UTF-8" standalone="yes"?>
<Relationships xmlns="http://schemas.openxmlformats.org/package/2006/relationships"><Relationship Id="rId1" Type="http://schemas.openxmlformats.org/officeDocument/2006/relationships/oleObject" Target="file:///\\aslmn.net\dati\OSSERVATORIO\Guarda%20Linda\CONVEGNO%20OSTETRICHE\OR%20e%20indicatori.xlsx" TargetMode="External"/></Relationships>
</file>

<file path=word/charts/_rels/chart82.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8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84.xml.rels><?xml version="1.0" encoding="UTF-8" standalone="yes"?>
<Relationships xmlns="http://schemas.openxmlformats.org/package/2006/relationships"><Relationship Id="rId1" Type="http://schemas.openxmlformats.org/officeDocument/2006/relationships/oleObject" Target="file:///\\aslmn.net\dati\OSSERVATORIO\Guarda%20Linda\CONVEGNO%20OSTETRICHE\OR%20e%20indicatori.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aslmn.net\dati\OSSERVATORIO\Guarda%20Linda\CONVEGNO%20OSTETRICHE\OR%20e%20indicatori.xlsx" TargetMode="External"/></Relationships>
</file>

<file path=word/charts/_rels/chart86.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20.xml"/></Relationships>
</file>

<file path=word/charts/_rels/chart87.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88.xml.rels><?xml version="1.0" encoding="UTF-8" standalone="yes"?>
<Relationships xmlns="http://schemas.openxmlformats.org/package/2006/relationships"><Relationship Id="rId1" Type="http://schemas.openxmlformats.org/officeDocument/2006/relationships/oleObject" Target="file:///C:\Users\pironivanda\Desktop\POA\CONTESTO\CONTESTO.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C:\Users\pironivanda\Desktop\POA\CONTESTO\CONTESTO.xlsx" TargetMode="Externa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5.xml"/></Relationships>
</file>

<file path=word/charts/_rels/chart90.xml.rels><?xml version="1.0" encoding="UTF-8" standalone="yes"?>
<Relationships xmlns="http://schemas.openxmlformats.org/package/2006/relationships"><Relationship Id="rId1" Type="http://schemas.openxmlformats.org/officeDocument/2006/relationships/oleObject" Target="file:///C:\Users\pironivanda\Desktop\POA\CONTESTO\CONTESTO.xlsx" TargetMode="External"/></Relationships>
</file>

<file path=word/charts/_rels/chart91.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92.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Incidenza T. della mammella F </a:t>
            </a:r>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Word]Incidenza Tumori'!$K$459</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Word]Incidenza Tumori'!$J$460:$J$462</c:f>
              <c:strCache>
                <c:ptCount val="3"/>
                <c:pt idx="0">
                  <c:v>MANTOVA</c:v>
                </c:pt>
                <c:pt idx="1">
                  <c:v>CREMONA</c:v>
                </c:pt>
                <c:pt idx="2">
                  <c:v>CREMA</c:v>
                </c:pt>
              </c:strCache>
            </c:strRef>
          </c:cat>
          <c:val>
            <c:numRef>
              <c:f>'[Grafico in Microsoft Word]Incidenza Tumori'!$K$460:$K$462</c:f>
              <c:numCache>
                <c:formatCode>0.0</c:formatCode>
                <c:ptCount val="3"/>
                <c:pt idx="0">
                  <c:v>176.13</c:v>
                </c:pt>
                <c:pt idx="1">
                  <c:v>165.82</c:v>
                </c:pt>
                <c:pt idx="2">
                  <c:v>172.17</c:v>
                </c:pt>
              </c:numCache>
            </c:numRef>
          </c:val>
        </c:ser>
        <c:dLbls>
          <c:showLegendKey val="0"/>
          <c:showVal val="0"/>
          <c:showCatName val="0"/>
          <c:showSerName val="0"/>
          <c:showPercent val="0"/>
          <c:showBubbleSize val="0"/>
        </c:dLbls>
        <c:gapWidth val="150"/>
        <c:shape val="box"/>
        <c:axId val="80949632"/>
        <c:axId val="80951168"/>
        <c:axId val="0"/>
      </c:bar3DChart>
      <c:catAx>
        <c:axId val="80949632"/>
        <c:scaling>
          <c:orientation val="minMax"/>
        </c:scaling>
        <c:delete val="0"/>
        <c:axPos val="l"/>
        <c:majorTickMark val="none"/>
        <c:minorTickMark val="none"/>
        <c:tickLblPos val="nextTo"/>
        <c:txPr>
          <a:bodyPr/>
          <a:lstStyle/>
          <a:p>
            <a:pPr>
              <a:defRPr sz="800" b="1"/>
            </a:pPr>
            <a:endParaRPr lang="it-IT"/>
          </a:p>
        </c:txPr>
        <c:crossAx val="80951168"/>
        <c:crosses val="autoZero"/>
        <c:auto val="1"/>
        <c:lblAlgn val="ctr"/>
        <c:lblOffset val="100"/>
        <c:noMultiLvlLbl val="0"/>
      </c:catAx>
      <c:valAx>
        <c:axId val="80951168"/>
        <c:scaling>
          <c:orientation val="minMax"/>
          <c:min val="0"/>
        </c:scaling>
        <c:delete val="0"/>
        <c:axPos val="b"/>
        <c:majorGridlines/>
        <c:numFmt formatCode="0.0" sourceLinked="1"/>
        <c:majorTickMark val="none"/>
        <c:minorTickMark val="none"/>
        <c:tickLblPos val="nextTo"/>
        <c:txPr>
          <a:bodyPr/>
          <a:lstStyle/>
          <a:p>
            <a:pPr>
              <a:defRPr sz="800" b="1"/>
            </a:pPr>
            <a:endParaRPr lang="it-IT"/>
          </a:p>
        </c:txPr>
        <c:crossAx val="80949632"/>
        <c:crosses val="autoZero"/>
        <c:crossBetween val="between"/>
        <c:majorUnit val="30"/>
      </c:valAx>
    </c:plotArea>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Mortalità- T. dello</a:t>
            </a:r>
            <a:r>
              <a:rPr lang="it-IT" sz="1200" baseline="0"/>
              <a:t> stomaco</a:t>
            </a:r>
            <a:endParaRPr lang="it-IT" sz="1200"/>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Word]mortalita 2007-2015 x100000'!$Q$51</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Word]mortalita 2007-2015 x100000'!$P$52:$P$54</c:f>
              <c:strCache>
                <c:ptCount val="3"/>
                <c:pt idx="0">
                  <c:v>MANTOVA</c:v>
                </c:pt>
                <c:pt idx="1">
                  <c:v>CREMONA</c:v>
                </c:pt>
                <c:pt idx="2">
                  <c:v>CREMA</c:v>
                </c:pt>
              </c:strCache>
            </c:strRef>
          </c:cat>
          <c:val>
            <c:numRef>
              <c:f>'[Grafico in Microsoft Word]mortalita 2007-2015 x100000'!$Q$52:$Q$54</c:f>
              <c:numCache>
                <c:formatCode>0.0</c:formatCode>
                <c:ptCount val="3"/>
                <c:pt idx="0">
                  <c:v>14</c:v>
                </c:pt>
                <c:pt idx="1">
                  <c:v>17.68</c:v>
                </c:pt>
                <c:pt idx="2">
                  <c:v>15.74</c:v>
                </c:pt>
              </c:numCache>
            </c:numRef>
          </c:val>
        </c:ser>
        <c:ser>
          <c:idx val="1"/>
          <c:order val="1"/>
          <c:tx>
            <c:strRef>
              <c:f>'[Grafico in Microsoft Word]mortalita 2007-2015 x100000'!$R$51</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Word]mortalita 2007-2015 x100000'!$P$52:$P$54</c:f>
              <c:strCache>
                <c:ptCount val="3"/>
                <c:pt idx="0">
                  <c:v>MANTOVA</c:v>
                </c:pt>
                <c:pt idx="1">
                  <c:v>CREMONA</c:v>
                </c:pt>
                <c:pt idx="2">
                  <c:v>CREMA</c:v>
                </c:pt>
              </c:strCache>
            </c:strRef>
          </c:cat>
          <c:val>
            <c:numRef>
              <c:f>'[Grafico in Microsoft Word]mortalita 2007-2015 x100000'!$R$52:$R$54</c:f>
              <c:numCache>
                <c:formatCode>0.0</c:formatCode>
                <c:ptCount val="3"/>
                <c:pt idx="0">
                  <c:v>31.64</c:v>
                </c:pt>
                <c:pt idx="1">
                  <c:v>40.03</c:v>
                </c:pt>
                <c:pt idx="2">
                  <c:v>38.39</c:v>
                </c:pt>
              </c:numCache>
            </c:numRef>
          </c:val>
        </c:ser>
        <c:dLbls>
          <c:showLegendKey val="0"/>
          <c:showVal val="0"/>
          <c:showCatName val="0"/>
          <c:showSerName val="0"/>
          <c:showPercent val="0"/>
          <c:showBubbleSize val="0"/>
        </c:dLbls>
        <c:gapWidth val="150"/>
        <c:shape val="box"/>
        <c:axId val="108745472"/>
        <c:axId val="108747008"/>
        <c:axId val="0"/>
      </c:bar3DChart>
      <c:catAx>
        <c:axId val="108745472"/>
        <c:scaling>
          <c:orientation val="minMax"/>
        </c:scaling>
        <c:delete val="0"/>
        <c:axPos val="l"/>
        <c:majorTickMark val="none"/>
        <c:minorTickMark val="none"/>
        <c:tickLblPos val="nextTo"/>
        <c:txPr>
          <a:bodyPr/>
          <a:lstStyle/>
          <a:p>
            <a:pPr>
              <a:defRPr sz="800" b="1"/>
            </a:pPr>
            <a:endParaRPr lang="it-IT"/>
          </a:p>
        </c:txPr>
        <c:crossAx val="108747008"/>
        <c:crosses val="autoZero"/>
        <c:auto val="1"/>
        <c:lblAlgn val="ctr"/>
        <c:lblOffset val="100"/>
        <c:noMultiLvlLbl val="0"/>
      </c:catAx>
      <c:valAx>
        <c:axId val="10874700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08745472"/>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Incidenza T. fegato</a:t>
            </a:r>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Word]Incidenza Tumori'!$K$430</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Word]Incidenza Tumori'!$J$431:$J$433</c:f>
              <c:strCache>
                <c:ptCount val="3"/>
                <c:pt idx="0">
                  <c:v>MANTOVA</c:v>
                </c:pt>
                <c:pt idx="1">
                  <c:v>CREMONA</c:v>
                </c:pt>
                <c:pt idx="2">
                  <c:v>CREMA</c:v>
                </c:pt>
              </c:strCache>
            </c:strRef>
          </c:cat>
          <c:val>
            <c:numRef>
              <c:f>'[Grafico in Microsoft Word]Incidenza Tumori'!$K$431:$K$433</c:f>
              <c:numCache>
                <c:formatCode>0.0</c:formatCode>
                <c:ptCount val="3"/>
                <c:pt idx="0">
                  <c:v>10.34</c:v>
                </c:pt>
                <c:pt idx="1">
                  <c:v>14.93</c:v>
                </c:pt>
                <c:pt idx="2">
                  <c:v>17.78</c:v>
                </c:pt>
              </c:numCache>
            </c:numRef>
          </c:val>
        </c:ser>
        <c:ser>
          <c:idx val="1"/>
          <c:order val="1"/>
          <c:tx>
            <c:strRef>
              <c:f>'[Grafico in Microsoft Word]Incidenza Tumori'!$L$430</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Word]Incidenza Tumori'!$J$431:$J$433</c:f>
              <c:strCache>
                <c:ptCount val="3"/>
                <c:pt idx="0">
                  <c:v>MANTOVA</c:v>
                </c:pt>
                <c:pt idx="1">
                  <c:v>CREMONA</c:v>
                </c:pt>
                <c:pt idx="2">
                  <c:v>CREMA</c:v>
                </c:pt>
              </c:strCache>
            </c:strRef>
          </c:cat>
          <c:val>
            <c:numRef>
              <c:f>'[Grafico in Microsoft Word]Incidenza Tumori'!$L$431:$L$433</c:f>
              <c:numCache>
                <c:formatCode>0.0</c:formatCode>
                <c:ptCount val="3"/>
                <c:pt idx="0">
                  <c:v>32.369999999999997</c:v>
                </c:pt>
                <c:pt idx="1">
                  <c:v>55.13</c:v>
                </c:pt>
                <c:pt idx="2">
                  <c:v>58.54</c:v>
                </c:pt>
              </c:numCache>
            </c:numRef>
          </c:val>
        </c:ser>
        <c:dLbls>
          <c:showLegendKey val="0"/>
          <c:showVal val="0"/>
          <c:showCatName val="0"/>
          <c:showSerName val="0"/>
          <c:showPercent val="0"/>
          <c:showBubbleSize val="0"/>
        </c:dLbls>
        <c:gapWidth val="150"/>
        <c:shape val="box"/>
        <c:axId val="108785664"/>
        <c:axId val="108787200"/>
        <c:axId val="0"/>
      </c:bar3DChart>
      <c:catAx>
        <c:axId val="108785664"/>
        <c:scaling>
          <c:orientation val="minMax"/>
        </c:scaling>
        <c:delete val="0"/>
        <c:axPos val="l"/>
        <c:majorTickMark val="none"/>
        <c:minorTickMark val="none"/>
        <c:tickLblPos val="nextTo"/>
        <c:txPr>
          <a:bodyPr/>
          <a:lstStyle/>
          <a:p>
            <a:pPr>
              <a:defRPr sz="800" b="1"/>
            </a:pPr>
            <a:endParaRPr lang="it-IT"/>
          </a:p>
        </c:txPr>
        <c:crossAx val="108787200"/>
        <c:crosses val="autoZero"/>
        <c:auto val="1"/>
        <c:lblAlgn val="ctr"/>
        <c:lblOffset val="100"/>
        <c:noMultiLvlLbl val="0"/>
      </c:catAx>
      <c:valAx>
        <c:axId val="10878720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08785664"/>
        <c:crosses val="autoZero"/>
        <c:crossBetween val="between"/>
      </c:valAx>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Mortalità- T. del  fegato</a:t>
            </a:r>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2 in Microsoft Word]mortalità giusta'!$Q$51</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'[Grafico 2 in Microsoft Word]mortalità giusta'!$P$52:$P$54</c:f>
              <c:strCache>
                <c:ptCount val="3"/>
                <c:pt idx="0">
                  <c:v>MANTOVA</c:v>
                </c:pt>
                <c:pt idx="1">
                  <c:v>CREMONA</c:v>
                </c:pt>
                <c:pt idx="2">
                  <c:v>CREMA</c:v>
                </c:pt>
              </c:strCache>
            </c:strRef>
          </c:cat>
          <c:val>
            <c:numRef>
              <c:f>'[Grafico 2 in Microsoft Word]mortalità giusta'!$Q$52:$Q$54</c:f>
              <c:numCache>
                <c:formatCode>0.0</c:formatCode>
                <c:ptCount val="3"/>
                <c:pt idx="0">
                  <c:v>10.47</c:v>
                </c:pt>
                <c:pt idx="1">
                  <c:v>10.91</c:v>
                </c:pt>
                <c:pt idx="2">
                  <c:v>15.24</c:v>
                </c:pt>
              </c:numCache>
            </c:numRef>
          </c:val>
        </c:ser>
        <c:ser>
          <c:idx val="1"/>
          <c:order val="1"/>
          <c:tx>
            <c:strRef>
              <c:f>'[Grafico 2 in Microsoft Word]mortalità giusta'!$R$51</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'[Grafico 2 in Microsoft Word]mortalità giusta'!$P$52:$P$54</c:f>
              <c:strCache>
                <c:ptCount val="3"/>
                <c:pt idx="0">
                  <c:v>MANTOVA</c:v>
                </c:pt>
                <c:pt idx="1">
                  <c:v>CREMONA</c:v>
                </c:pt>
                <c:pt idx="2">
                  <c:v>CREMA</c:v>
                </c:pt>
              </c:strCache>
            </c:strRef>
          </c:cat>
          <c:val>
            <c:numRef>
              <c:f>'[Grafico 2 in Microsoft Word]mortalità giusta'!$R$52:$R$54</c:f>
              <c:numCache>
                <c:formatCode>0.0</c:formatCode>
                <c:ptCount val="3"/>
                <c:pt idx="0">
                  <c:v>28.07</c:v>
                </c:pt>
                <c:pt idx="1">
                  <c:v>38.93</c:v>
                </c:pt>
                <c:pt idx="2">
                  <c:v>43.53</c:v>
                </c:pt>
              </c:numCache>
            </c:numRef>
          </c:val>
        </c:ser>
        <c:dLbls>
          <c:showLegendKey val="0"/>
          <c:showVal val="0"/>
          <c:showCatName val="0"/>
          <c:showSerName val="0"/>
          <c:showPercent val="0"/>
          <c:showBubbleSize val="0"/>
        </c:dLbls>
        <c:gapWidth val="150"/>
        <c:shape val="box"/>
        <c:axId val="109005824"/>
        <c:axId val="109015808"/>
        <c:axId val="0"/>
      </c:bar3DChart>
      <c:catAx>
        <c:axId val="109005824"/>
        <c:scaling>
          <c:orientation val="minMax"/>
        </c:scaling>
        <c:delete val="0"/>
        <c:axPos val="l"/>
        <c:numFmt formatCode="General" sourceLinked="0"/>
        <c:majorTickMark val="none"/>
        <c:minorTickMark val="none"/>
        <c:tickLblPos val="nextTo"/>
        <c:txPr>
          <a:bodyPr/>
          <a:lstStyle/>
          <a:p>
            <a:pPr>
              <a:defRPr sz="800" b="1"/>
            </a:pPr>
            <a:endParaRPr lang="it-IT"/>
          </a:p>
        </c:txPr>
        <c:crossAx val="109015808"/>
        <c:crosses val="autoZero"/>
        <c:auto val="1"/>
        <c:lblAlgn val="ctr"/>
        <c:lblOffset val="100"/>
        <c:noMultiLvlLbl val="0"/>
      </c:catAx>
      <c:valAx>
        <c:axId val="10901580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09005824"/>
        <c:crosses val="autoZero"/>
        <c:crossBetween val="between"/>
      </c:valAx>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a:t>Mortalità</a:t>
            </a:r>
            <a:r>
              <a:rPr lang="en-US" baseline="0"/>
              <a:t> -T. colon-retto </a:t>
            </a:r>
            <a:r>
              <a:rPr lang="en-US"/>
              <a:t>M</a:t>
            </a:r>
          </a:p>
        </c:rich>
      </c:tx>
      <c:layout>
        <c:manualLayout>
          <c:xMode val="edge"/>
          <c:yMode val="edge"/>
          <c:x val="0.18555201876361199"/>
          <c:y val="3.125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'T.COLON-RETTO'!$B$3</c:f>
              <c:strCache>
                <c:ptCount val="1"/>
                <c:pt idx="0">
                  <c:v>MASCHI</c:v>
                </c:pt>
              </c:strCache>
            </c:strRef>
          </c:tx>
          <c:dLbls>
            <c:numFmt formatCode="0.0%" sourceLinked="0"/>
            <c:txPr>
              <a:bodyPr/>
              <a:lstStyle/>
              <a:p>
                <a:pPr>
                  <a:defRPr b="1"/>
                </a:pPr>
                <a:endParaRPr lang="it-IT"/>
              </a:p>
            </c:txPr>
            <c:dLblPos val="outEnd"/>
            <c:showLegendKey val="0"/>
            <c:showVal val="0"/>
            <c:showCatName val="0"/>
            <c:showSerName val="0"/>
            <c:showPercent val="1"/>
            <c:showBubbleSize val="0"/>
            <c:showLeaderLines val="1"/>
          </c:dLbls>
          <c:cat>
            <c:strRef>
              <c:f>'T.COLON-RETTO'!$A$5:$A$9</c:f>
              <c:strCache>
                <c:ptCount val="5"/>
                <c:pt idx="0">
                  <c:v>00-14</c:v>
                </c:pt>
                <c:pt idx="1">
                  <c:v>15-29</c:v>
                </c:pt>
                <c:pt idx="2">
                  <c:v>30-64</c:v>
                </c:pt>
                <c:pt idx="3">
                  <c:v>65-74</c:v>
                </c:pt>
                <c:pt idx="4">
                  <c:v>75+</c:v>
                </c:pt>
              </c:strCache>
            </c:strRef>
          </c:cat>
          <c:val>
            <c:numRef>
              <c:f>'T.COLON-RETTO'!$C$5:$C$9</c:f>
              <c:numCache>
                <c:formatCode>General</c:formatCode>
                <c:ptCount val="5"/>
                <c:pt idx="0">
                  <c:v>0</c:v>
                </c:pt>
                <c:pt idx="1">
                  <c:v>0</c:v>
                </c:pt>
                <c:pt idx="2">
                  <c:v>0.14189189189189189</c:v>
                </c:pt>
                <c:pt idx="3">
                  <c:v>0.22972972972972974</c:v>
                </c:pt>
                <c:pt idx="4">
                  <c:v>0.6283783783783784</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400" b="1" i="0" u="none" strike="noStrike" kern="1200" baseline="0">
                <a:solidFill>
                  <a:sysClr val="windowText" lastClr="000000"/>
                </a:solidFill>
                <a:latin typeface="+mn-lt"/>
                <a:ea typeface="+mn-ea"/>
                <a:cs typeface="+mn-cs"/>
              </a:defRPr>
            </a:pPr>
            <a:r>
              <a:rPr lang="en-US" sz="1400" b="1" i="0" baseline="0">
                <a:effectLst/>
              </a:rPr>
              <a:t>Mortalità -T. colon-retto F</a:t>
            </a:r>
            <a:endParaRPr lang="it-IT" sz="1400">
              <a:effectLst/>
            </a:endParaRPr>
          </a:p>
          <a:p>
            <a:pPr marL="0" marR="0" indent="0" algn="ctr" defTabSz="914400" rtl="0" eaLnBrk="1" fontAlgn="auto" latinLnBrk="0" hangingPunct="1">
              <a:lnSpc>
                <a:spcPct val="100000"/>
              </a:lnSpc>
              <a:spcBef>
                <a:spcPts val="0"/>
              </a:spcBef>
              <a:spcAft>
                <a:spcPts val="0"/>
              </a:spcAft>
              <a:buClrTx/>
              <a:buSzTx/>
              <a:buFontTx/>
              <a:buNone/>
              <a:tabLst/>
              <a:defRPr sz="1400" b="1" i="0" u="none" strike="noStrike" kern="1200" baseline="0">
                <a:solidFill>
                  <a:sysClr val="windowText" lastClr="000000"/>
                </a:solidFill>
                <a:latin typeface="+mn-lt"/>
                <a:ea typeface="+mn-ea"/>
                <a:cs typeface="+mn-cs"/>
              </a:defRPr>
            </a:pPr>
            <a:endParaRPr lang="en-US" sz="1400"/>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'T.COLON-RETTO'!$D$3</c:f>
              <c:strCache>
                <c:ptCount val="1"/>
                <c:pt idx="0">
                  <c:v>FEMMINE</c:v>
                </c:pt>
              </c:strCache>
            </c:strRef>
          </c:tx>
          <c:dLbls>
            <c:dLbl>
              <c:idx val="0"/>
              <c:layout>
                <c:manualLayout>
                  <c:x val="-1.7064746172914928E-2"/>
                  <c:y val="-5.1146561417896717E-2"/>
                </c:manualLayout>
              </c:layout>
              <c:showLegendKey val="0"/>
              <c:showVal val="0"/>
              <c:showCatName val="0"/>
              <c:showSerName val="0"/>
              <c:showPercent val="1"/>
              <c:showBubbleSize val="0"/>
            </c:dLbl>
            <c:dLbl>
              <c:idx val="1"/>
              <c:layout>
                <c:manualLayout>
                  <c:x val="5.3967017614552582E-2"/>
                  <c:y val="-3.6790345840668051E-2"/>
                </c:manualLayout>
              </c:layout>
              <c:showLegendKey val="0"/>
              <c:showVal val="0"/>
              <c:showCatName val="0"/>
              <c:showSerName val="0"/>
              <c:showPercent val="1"/>
              <c:showBubbleSize val="0"/>
            </c:dLbl>
            <c:dLbl>
              <c:idx val="2"/>
              <c:layout>
                <c:manualLayout>
                  <c:x val="-4.3072126752187667E-3"/>
                  <c:y val="-3.7347073098288927E-2"/>
                </c:manualLayout>
              </c:layout>
              <c:showLegendKey val="0"/>
              <c:showVal val="0"/>
              <c:showCatName val="0"/>
              <c:showSerName val="0"/>
              <c:showPercent val="1"/>
              <c:showBubbleSize val="0"/>
            </c:dLbl>
            <c:dLbl>
              <c:idx val="3"/>
              <c:layout>
                <c:manualLayout>
                  <c:x val="0.11493203722835577"/>
                  <c:y val="-3.7347073098288927E-2"/>
                </c:manualLayout>
              </c:layout>
              <c:showLegendKey val="0"/>
              <c:showVal val="0"/>
              <c:showCatName val="0"/>
              <c:showSerName val="0"/>
              <c:showPercent val="1"/>
              <c:showBubbleSize val="0"/>
            </c:dLbl>
            <c:numFmt formatCode="0.0%" sourceLinked="0"/>
            <c:txPr>
              <a:bodyPr/>
              <a:lstStyle/>
              <a:p>
                <a:pPr>
                  <a:defRPr b="1"/>
                </a:pPr>
                <a:endParaRPr lang="it-IT"/>
              </a:p>
            </c:txPr>
            <c:showLegendKey val="0"/>
            <c:showVal val="0"/>
            <c:showCatName val="0"/>
            <c:showSerName val="0"/>
            <c:showPercent val="1"/>
            <c:showBubbleSize val="0"/>
            <c:showLeaderLines val="1"/>
          </c:dLbls>
          <c:cat>
            <c:strRef>
              <c:f>'T.COLON-RETTO'!$A$5:$A$9</c:f>
              <c:strCache>
                <c:ptCount val="5"/>
                <c:pt idx="0">
                  <c:v>00-14</c:v>
                </c:pt>
                <c:pt idx="1">
                  <c:v>15-29</c:v>
                </c:pt>
                <c:pt idx="2">
                  <c:v>30-64</c:v>
                </c:pt>
                <c:pt idx="3">
                  <c:v>65-74</c:v>
                </c:pt>
                <c:pt idx="4">
                  <c:v>75+</c:v>
                </c:pt>
              </c:strCache>
            </c:strRef>
          </c:cat>
          <c:val>
            <c:numRef>
              <c:f>'T.COLON-RETTO'!$E$5:$E$9</c:f>
              <c:numCache>
                <c:formatCode>General</c:formatCode>
                <c:ptCount val="5"/>
                <c:pt idx="0">
                  <c:v>0</c:v>
                </c:pt>
                <c:pt idx="1">
                  <c:v>0</c:v>
                </c:pt>
                <c:pt idx="2">
                  <c:v>0.19696969696969696</c:v>
                </c:pt>
                <c:pt idx="3">
                  <c:v>0.15909090909090909</c:v>
                </c:pt>
                <c:pt idx="4">
                  <c:v>0.64393939393939392</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400"/>
            </a:pPr>
            <a:r>
              <a:rPr lang="en-US" sz="1400"/>
              <a:t>Mortalità -T. mammella</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T.MAMMELLA!$D$3</c:f>
              <c:strCache>
                <c:ptCount val="1"/>
                <c:pt idx="0">
                  <c:v>FEMMINE</c:v>
                </c:pt>
              </c:strCache>
            </c:strRef>
          </c:tx>
          <c:dLbls>
            <c:dLbl>
              <c:idx val="0"/>
              <c:layout>
                <c:manualLayout>
                  <c:x val="-1.7064746172914928E-2"/>
                  <c:y val="-5.1146561417896717E-2"/>
                </c:manualLayout>
              </c:layout>
              <c:showLegendKey val="0"/>
              <c:showVal val="0"/>
              <c:showCatName val="0"/>
              <c:showSerName val="0"/>
              <c:showPercent val="1"/>
              <c:showBubbleSize val="0"/>
            </c:dLbl>
            <c:dLbl>
              <c:idx val="1"/>
              <c:layout>
                <c:manualLayout>
                  <c:x val="5.3967017614552582E-2"/>
                  <c:y val="-3.6790345840668051E-2"/>
                </c:manualLayout>
              </c:layout>
              <c:showLegendKey val="0"/>
              <c:showVal val="0"/>
              <c:showCatName val="0"/>
              <c:showSerName val="0"/>
              <c:showPercent val="1"/>
              <c:showBubbleSize val="0"/>
            </c:dLbl>
            <c:dLbl>
              <c:idx val="2"/>
              <c:layout>
                <c:manualLayout>
                  <c:x val="-4.3072126752187667E-3"/>
                  <c:y val="-3.7347073098288927E-2"/>
                </c:manualLayout>
              </c:layout>
              <c:showLegendKey val="0"/>
              <c:showVal val="0"/>
              <c:showCatName val="0"/>
              <c:showSerName val="0"/>
              <c:showPercent val="1"/>
              <c:showBubbleSize val="0"/>
            </c:dLbl>
            <c:dLbl>
              <c:idx val="3"/>
              <c:layout>
                <c:manualLayout>
                  <c:x val="0.11493203722835577"/>
                  <c:y val="-3.7347073098288927E-2"/>
                </c:manualLayout>
              </c:layout>
              <c:showLegendKey val="0"/>
              <c:showVal val="0"/>
              <c:showCatName val="0"/>
              <c:showSerName val="0"/>
              <c:showPercent val="1"/>
              <c:showBubbleSize val="0"/>
            </c:dLbl>
            <c:numFmt formatCode="0.0%" sourceLinked="0"/>
            <c:txPr>
              <a:bodyPr/>
              <a:lstStyle/>
              <a:p>
                <a:pPr>
                  <a:defRPr b="1"/>
                </a:pPr>
                <a:endParaRPr lang="it-IT"/>
              </a:p>
            </c:txPr>
            <c:showLegendKey val="0"/>
            <c:showVal val="0"/>
            <c:showCatName val="0"/>
            <c:showSerName val="0"/>
            <c:showPercent val="1"/>
            <c:showBubbleSize val="0"/>
            <c:showLeaderLines val="1"/>
          </c:dLbls>
          <c:cat>
            <c:strRef>
              <c:f>T.MAMMELLA!$A$5:$A$9</c:f>
              <c:strCache>
                <c:ptCount val="5"/>
                <c:pt idx="0">
                  <c:v>00-14</c:v>
                </c:pt>
                <c:pt idx="1">
                  <c:v>15-29</c:v>
                </c:pt>
                <c:pt idx="2">
                  <c:v>30-64</c:v>
                </c:pt>
                <c:pt idx="3">
                  <c:v>65-74</c:v>
                </c:pt>
                <c:pt idx="4">
                  <c:v>75+</c:v>
                </c:pt>
              </c:strCache>
            </c:strRef>
          </c:cat>
          <c:val>
            <c:numRef>
              <c:f>T.MAMMELLA!$E$5:$E$9</c:f>
              <c:numCache>
                <c:formatCode>General</c:formatCode>
                <c:ptCount val="5"/>
                <c:pt idx="0">
                  <c:v>0</c:v>
                </c:pt>
                <c:pt idx="1">
                  <c:v>5.434782608695652E-3</c:v>
                </c:pt>
                <c:pt idx="2">
                  <c:v>0.27717391304347827</c:v>
                </c:pt>
                <c:pt idx="3">
                  <c:v>0.16304347826086957</c:v>
                </c:pt>
                <c:pt idx="4">
                  <c:v>0.55434782608695654</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400"/>
            </a:pPr>
            <a:r>
              <a:rPr lang="it-IT" sz="1400"/>
              <a:t>Mortalità T.</a:t>
            </a:r>
            <a:r>
              <a:rPr lang="it-IT" sz="1400" baseline="0"/>
              <a:t> utero</a:t>
            </a:r>
            <a:endParaRPr lang="it-IT" sz="1400"/>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T.UTERO!$D$3</c:f>
              <c:strCache>
                <c:ptCount val="1"/>
                <c:pt idx="0">
                  <c:v>FEMMINE</c:v>
                </c:pt>
              </c:strCache>
            </c:strRef>
          </c:tx>
          <c:dLbls>
            <c:dLbl>
              <c:idx val="0"/>
              <c:layout>
                <c:manualLayout>
                  <c:x val="-1.7064746172914928E-2"/>
                  <c:y val="-5.1146561417896717E-2"/>
                </c:manualLayout>
              </c:layout>
              <c:showLegendKey val="0"/>
              <c:showVal val="0"/>
              <c:showCatName val="0"/>
              <c:showSerName val="0"/>
              <c:showPercent val="1"/>
              <c:showBubbleSize val="0"/>
            </c:dLbl>
            <c:dLbl>
              <c:idx val="1"/>
              <c:layout>
                <c:manualLayout>
                  <c:x val="5.3967017614552582E-2"/>
                  <c:y val="-3.6790345840668051E-2"/>
                </c:manualLayout>
              </c:layout>
              <c:showLegendKey val="0"/>
              <c:showVal val="0"/>
              <c:showCatName val="0"/>
              <c:showSerName val="0"/>
              <c:showPercent val="1"/>
              <c:showBubbleSize val="0"/>
            </c:dLbl>
            <c:dLbl>
              <c:idx val="2"/>
              <c:layout>
                <c:manualLayout>
                  <c:x val="-4.3072126752187667E-3"/>
                  <c:y val="-3.7347073098288927E-2"/>
                </c:manualLayout>
              </c:layout>
              <c:showLegendKey val="0"/>
              <c:showVal val="0"/>
              <c:showCatName val="0"/>
              <c:showSerName val="0"/>
              <c:showPercent val="1"/>
              <c:showBubbleSize val="0"/>
            </c:dLbl>
            <c:dLbl>
              <c:idx val="3"/>
              <c:layout>
                <c:manualLayout>
                  <c:x val="0.11493203722835577"/>
                  <c:y val="-3.7347073098288927E-2"/>
                </c:manualLayout>
              </c:layout>
              <c:showLegendKey val="0"/>
              <c:showVal val="0"/>
              <c:showCatName val="0"/>
              <c:showSerName val="0"/>
              <c:showPercent val="1"/>
              <c:showBubbleSize val="0"/>
            </c:dLbl>
            <c:numFmt formatCode="0.0%" sourceLinked="0"/>
            <c:txPr>
              <a:bodyPr/>
              <a:lstStyle/>
              <a:p>
                <a:pPr>
                  <a:defRPr b="1"/>
                </a:pPr>
                <a:endParaRPr lang="it-IT"/>
              </a:p>
            </c:txPr>
            <c:showLegendKey val="0"/>
            <c:showVal val="0"/>
            <c:showCatName val="0"/>
            <c:showSerName val="0"/>
            <c:showPercent val="1"/>
            <c:showBubbleSize val="0"/>
            <c:showLeaderLines val="1"/>
          </c:dLbls>
          <c:cat>
            <c:strRef>
              <c:f>T.UTERO!$A$5:$A$9</c:f>
              <c:strCache>
                <c:ptCount val="5"/>
                <c:pt idx="0">
                  <c:v>00-14</c:v>
                </c:pt>
                <c:pt idx="1">
                  <c:v>15-29</c:v>
                </c:pt>
                <c:pt idx="2">
                  <c:v>30-64</c:v>
                </c:pt>
                <c:pt idx="3">
                  <c:v>65-74</c:v>
                </c:pt>
                <c:pt idx="4">
                  <c:v>75+</c:v>
                </c:pt>
              </c:strCache>
            </c:strRef>
          </c:cat>
          <c:val>
            <c:numRef>
              <c:f>T.UTERO!$E$5:$E$9</c:f>
              <c:numCache>
                <c:formatCode>General</c:formatCode>
                <c:ptCount val="5"/>
                <c:pt idx="0">
                  <c:v>0</c:v>
                </c:pt>
                <c:pt idx="1">
                  <c:v>0</c:v>
                </c:pt>
                <c:pt idx="2">
                  <c:v>0.20689655172413793</c:v>
                </c:pt>
                <c:pt idx="3">
                  <c:v>0.34482758620689657</c:v>
                </c:pt>
                <c:pt idx="4">
                  <c:v>0.44827586206896552</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it-IT" sz="1400"/>
              <a:t>Mortalità T. stomaco -M</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T.STOMACO!$B$3</c:f>
              <c:strCache>
                <c:ptCount val="1"/>
                <c:pt idx="0">
                  <c:v>MASCHI</c:v>
                </c:pt>
              </c:strCache>
            </c:strRef>
          </c:tx>
          <c:dLbls>
            <c:numFmt formatCode="0.0%" sourceLinked="0"/>
            <c:showLegendKey val="0"/>
            <c:showVal val="0"/>
            <c:showCatName val="0"/>
            <c:showSerName val="0"/>
            <c:showPercent val="1"/>
            <c:showBubbleSize val="0"/>
            <c:showLeaderLines val="1"/>
          </c:dLbls>
          <c:cat>
            <c:strRef>
              <c:f>T.STOMACO!$A$5:$A$9</c:f>
              <c:strCache>
                <c:ptCount val="5"/>
                <c:pt idx="0">
                  <c:v>00-14</c:v>
                </c:pt>
                <c:pt idx="1">
                  <c:v>15-29</c:v>
                </c:pt>
                <c:pt idx="2">
                  <c:v>30-64</c:v>
                </c:pt>
                <c:pt idx="3">
                  <c:v>65-74</c:v>
                </c:pt>
                <c:pt idx="4">
                  <c:v>75+</c:v>
                </c:pt>
              </c:strCache>
            </c:strRef>
          </c:cat>
          <c:val>
            <c:numRef>
              <c:f>T.STOMACO!$C$5:$C$9</c:f>
              <c:numCache>
                <c:formatCode>General</c:formatCode>
                <c:ptCount val="5"/>
                <c:pt idx="0">
                  <c:v>0</c:v>
                </c:pt>
                <c:pt idx="1">
                  <c:v>0</c:v>
                </c:pt>
                <c:pt idx="2">
                  <c:v>0.15315315315315314</c:v>
                </c:pt>
                <c:pt idx="3">
                  <c:v>0.28828828828828829</c:v>
                </c:pt>
                <c:pt idx="4">
                  <c:v>0.55855855855855852</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400"/>
            </a:pPr>
            <a:r>
              <a:rPr lang="it-IT" sz="1400" b="1" i="0" baseline="0">
                <a:effectLst/>
              </a:rPr>
              <a:t>Mortalità T. stomaco -F</a:t>
            </a:r>
            <a:endParaRPr lang="it-IT" sz="1400">
              <a:effectLst/>
            </a:endParaRP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T.STOMACO!$D$3</c:f>
              <c:strCache>
                <c:ptCount val="1"/>
                <c:pt idx="0">
                  <c:v>FEMMINE</c:v>
                </c:pt>
              </c:strCache>
            </c:strRef>
          </c:tx>
          <c:dLbls>
            <c:dLbl>
              <c:idx val="0"/>
              <c:layout>
                <c:manualLayout>
                  <c:x val="-1.7064746172914928E-2"/>
                  <c:y val="-5.1146561417896717E-2"/>
                </c:manualLayout>
              </c:layout>
              <c:showLegendKey val="0"/>
              <c:showVal val="0"/>
              <c:showCatName val="0"/>
              <c:showSerName val="0"/>
              <c:showPercent val="1"/>
              <c:showBubbleSize val="0"/>
            </c:dLbl>
            <c:dLbl>
              <c:idx val="1"/>
              <c:layout>
                <c:manualLayout>
                  <c:x val="5.3967017614552582E-2"/>
                  <c:y val="-3.6790345840668051E-2"/>
                </c:manualLayout>
              </c:layout>
              <c:showLegendKey val="0"/>
              <c:showVal val="0"/>
              <c:showCatName val="0"/>
              <c:showSerName val="0"/>
              <c:showPercent val="1"/>
              <c:showBubbleSize val="0"/>
            </c:dLbl>
            <c:dLbl>
              <c:idx val="2"/>
              <c:layout>
                <c:manualLayout>
                  <c:x val="-4.3072126752187667E-3"/>
                  <c:y val="-3.7347073098288927E-2"/>
                </c:manualLayout>
              </c:layout>
              <c:showLegendKey val="0"/>
              <c:showVal val="0"/>
              <c:showCatName val="0"/>
              <c:showSerName val="0"/>
              <c:showPercent val="1"/>
              <c:showBubbleSize val="0"/>
            </c:dLbl>
            <c:dLbl>
              <c:idx val="3"/>
              <c:layout>
                <c:manualLayout>
                  <c:x val="0.11493203722835577"/>
                  <c:y val="-3.7347073098288927E-2"/>
                </c:manualLayout>
              </c:layout>
              <c:showLegendKey val="0"/>
              <c:showVal val="0"/>
              <c:showCatName val="0"/>
              <c:showSerName val="0"/>
              <c:showPercent val="1"/>
              <c:showBubbleSize val="0"/>
            </c:dLbl>
            <c:numFmt formatCode="0.0%" sourceLinked="0"/>
            <c:showLegendKey val="0"/>
            <c:showVal val="0"/>
            <c:showCatName val="0"/>
            <c:showSerName val="0"/>
            <c:showPercent val="1"/>
            <c:showBubbleSize val="0"/>
            <c:showLeaderLines val="1"/>
          </c:dLbls>
          <c:cat>
            <c:strRef>
              <c:f>T.STOMACO!$A$5:$A$9</c:f>
              <c:strCache>
                <c:ptCount val="5"/>
                <c:pt idx="0">
                  <c:v>00-14</c:v>
                </c:pt>
                <c:pt idx="1">
                  <c:v>15-29</c:v>
                </c:pt>
                <c:pt idx="2">
                  <c:v>30-64</c:v>
                </c:pt>
                <c:pt idx="3">
                  <c:v>65-74</c:v>
                </c:pt>
                <c:pt idx="4">
                  <c:v>75+</c:v>
                </c:pt>
              </c:strCache>
            </c:strRef>
          </c:cat>
          <c:val>
            <c:numRef>
              <c:f>T.STOMACO!$E$5:$E$9</c:f>
              <c:numCache>
                <c:formatCode>General</c:formatCode>
                <c:ptCount val="5"/>
                <c:pt idx="0">
                  <c:v>0</c:v>
                </c:pt>
                <c:pt idx="1">
                  <c:v>0</c:v>
                </c:pt>
                <c:pt idx="2">
                  <c:v>0.15277777777777779</c:v>
                </c:pt>
                <c:pt idx="3">
                  <c:v>0.1388888888888889</c:v>
                </c:pt>
                <c:pt idx="4">
                  <c:v>0.70833333333333337</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it-IT" sz="1400"/>
              <a:t>Mortalià T. polmone M</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T.POLMONE!$B$3</c:f>
              <c:strCache>
                <c:ptCount val="1"/>
                <c:pt idx="0">
                  <c:v>MASCHI</c:v>
                </c:pt>
              </c:strCache>
            </c:strRef>
          </c:tx>
          <c:dLbls>
            <c:numFmt formatCode="0.0%" sourceLinked="0"/>
            <c:showLegendKey val="0"/>
            <c:showVal val="0"/>
            <c:showCatName val="0"/>
            <c:showSerName val="0"/>
            <c:showPercent val="1"/>
            <c:showBubbleSize val="0"/>
            <c:showLeaderLines val="1"/>
          </c:dLbls>
          <c:cat>
            <c:strRef>
              <c:f>T.POLMONE!$A$5:$A$9</c:f>
              <c:strCache>
                <c:ptCount val="5"/>
                <c:pt idx="0">
                  <c:v>00-14</c:v>
                </c:pt>
                <c:pt idx="1">
                  <c:v>15-29</c:v>
                </c:pt>
                <c:pt idx="2">
                  <c:v>30-64</c:v>
                </c:pt>
                <c:pt idx="3">
                  <c:v>65-74</c:v>
                </c:pt>
                <c:pt idx="4">
                  <c:v>75+</c:v>
                </c:pt>
              </c:strCache>
            </c:strRef>
          </c:cat>
          <c:val>
            <c:numRef>
              <c:f>T.POLMONE!$C$5:$C$9</c:f>
              <c:numCache>
                <c:formatCode>General</c:formatCode>
                <c:ptCount val="5"/>
                <c:pt idx="0">
                  <c:v>0</c:v>
                </c:pt>
                <c:pt idx="1">
                  <c:v>0</c:v>
                </c:pt>
                <c:pt idx="2">
                  <c:v>0.18437500000000001</c:v>
                </c:pt>
                <c:pt idx="3">
                  <c:v>0.30312499999999998</c:v>
                </c:pt>
                <c:pt idx="4">
                  <c:v>0.51249999999999996</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b="1" i="0" baseline="0">
                <a:effectLst/>
              </a:rPr>
              <a:t>Mortalità-Tumore della mammella F</a:t>
            </a:r>
            <a:endParaRPr lang="it-IT" sz="1200">
              <a:effectLst/>
            </a:endParaRPr>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Word]mortalita 2007-2015 x100000'!$Q$45</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Word]mortalita 2007-2015 x100000'!$P$46:$P$48</c:f>
              <c:strCache>
                <c:ptCount val="3"/>
                <c:pt idx="0">
                  <c:v>MANTOVA</c:v>
                </c:pt>
                <c:pt idx="1">
                  <c:v>CREMONA</c:v>
                </c:pt>
                <c:pt idx="2">
                  <c:v>CREMA</c:v>
                </c:pt>
              </c:strCache>
            </c:strRef>
          </c:cat>
          <c:val>
            <c:numRef>
              <c:f>'[Grafico in Microsoft Word]mortalita 2007-2015 x100000'!$Q$46:$Q$48</c:f>
              <c:numCache>
                <c:formatCode>0.0</c:formatCode>
                <c:ptCount val="3"/>
                <c:pt idx="0">
                  <c:v>39.75</c:v>
                </c:pt>
                <c:pt idx="1">
                  <c:v>43.22</c:v>
                </c:pt>
                <c:pt idx="2">
                  <c:v>48.9</c:v>
                </c:pt>
              </c:numCache>
            </c:numRef>
          </c:val>
        </c:ser>
        <c:dLbls>
          <c:showLegendKey val="0"/>
          <c:showVal val="0"/>
          <c:showCatName val="0"/>
          <c:showSerName val="0"/>
          <c:showPercent val="0"/>
          <c:showBubbleSize val="0"/>
        </c:dLbls>
        <c:gapWidth val="150"/>
        <c:shape val="box"/>
        <c:axId val="81855616"/>
        <c:axId val="81857152"/>
        <c:axId val="0"/>
      </c:bar3DChart>
      <c:catAx>
        <c:axId val="81855616"/>
        <c:scaling>
          <c:orientation val="minMax"/>
        </c:scaling>
        <c:delete val="0"/>
        <c:axPos val="l"/>
        <c:majorTickMark val="none"/>
        <c:minorTickMark val="none"/>
        <c:tickLblPos val="nextTo"/>
        <c:txPr>
          <a:bodyPr/>
          <a:lstStyle/>
          <a:p>
            <a:pPr>
              <a:defRPr sz="800" b="1"/>
            </a:pPr>
            <a:endParaRPr lang="it-IT"/>
          </a:p>
        </c:txPr>
        <c:crossAx val="81857152"/>
        <c:crosses val="autoZero"/>
        <c:auto val="1"/>
        <c:lblAlgn val="ctr"/>
        <c:lblOffset val="100"/>
        <c:noMultiLvlLbl val="0"/>
      </c:catAx>
      <c:valAx>
        <c:axId val="81857152"/>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81855616"/>
        <c:crosses val="autoZero"/>
        <c:crossBetween val="between"/>
      </c:valAx>
    </c:plotArea>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400"/>
            </a:pPr>
            <a:r>
              <a:rPr lang="it-IT" sz="1400" b="1" i="0" baseline="0">
                <a:effectLst/>
              </a:rPr>
              <a:t>Mortalià T. polmone F</a:t>
            </a:r>
            <a:endParaRPr lang="it-IT" sz="1400">
              <a:effectLst/>
            </a:endParaRP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T.POLMONE!$D$3</c:f>
              <c:strCache>
                <c:ptCount val="1"/>
                <c:pt idx="0">
                  <c:v>FEMMINE</c:v>
                </c:pt>
              </c:strCache>
            </c:strRef>
          </c:tx>
          <c:dLbls>
            <c:dLbl>
              <c:idx val="0"/>
              <c:layout>
                <c:manualLayout>
                  <c:x val="-1.7064746172914928E-2"/>
                  <c:y val="-5.1146561417896717E-2"/>
                </c:manualLayout>
              </c:layout>
              <c:showLegendKey val="0"/>
              <c:showVal val="0"/>
              <c:showCatName val="0"/>
              <c:showSerName val="0"/>
              <c:showPercent val="1"/>
              <c:showBubbleSize val="0"/>
            </c:dLbl>
            <c:dLbl>
              <c:idx val="1"/>
              <c:layout>
                <c:manualLayout>
                  <c:x val="5.3967017614552582E-2"/>
                  <c:y val="-3.6790345840668051E-2"/>
                </c:manualLayout>
              </c:layout>
              <c:showLegendKey val="0"/>
              <c:showVal val="0"/>
              <c:showCatName val="0"/>
              <c:showSerName val="0"/>
              <c:showPercent val="1"/>
              <c:showBubbleSize val="0"/>
            </c:dLbl>
            <c:dLbl>
              <c:idx val="2"/>
              <c:layout>
                <c:manualLayout>
                  <c:x val="-4.3072126752187667E-3"/>
                  <c:y val="-3.7347073098288927E-2"/>
                </c:manualLayout>
              </c:layout>
              <c:showLegendKey val="0"/>
              <c:showVal val="0"/>
              <c:showCatName val="0"/>
              <c:showSerName val="0"/>
              <c:showPercent val="1"/>
              <c:showBubbleSize val="0"/>
            </c:dLbl>
            <c:dLbl>
              <c:idx val="3"/>
              <c:layout>
                <c:manualLayout>
                  <c:x val="0.11493203722835577"/>
                  <c:y val="-3.7347073098288927E-2"/>
                </c:manualLayout>
              </c:layout>
              <c:showLegendKey val="0"/>
              <c:showVal val="0"/>
              <c:showCatName val="0"/>
              <c:showSerName val="0"/>
              <c:showPercent val="1"/>
              <c:showBubbleSize val="0"/>
            </c:dLbl>
            <c:numFmt formatCode="0.0%" sourceLinked="0"/>
            <c:showLegendKey val="0"/>
            <c:showVal val="0"/>
            <c:showCatName val="0"/>
            <c:showSerName val="0"/>
            <c:showPercent val="1"/>
            <c:showBubbleSize val="0"/>
            <c:showLeaderLines val="1"/>
          </c:dLbls>
          <c:cat>
            <c:strRef>
              <c:f>T.POLMONE!$A$5:$A$9</c:f>
              <c:strCache>
                <c:ptCount val="5"/>
                <c:pt idx="0">
                  <c:v>00-14</c:v>
                </c:pt>
                <c:pt idx="1">
                  <c:v>15-29</c:v>
                </c:pt>
                <c:pt idx="2">
                  <c:v>30-64</c:v>
                </c:pt>
                <c:pt idx="3">
                  <c:v>65-74</c:v>
                </c:pt>
                <c:pt idx="4">
                  <c:v>75+</c:v>
                </c:pt>
              </c:strCache>
            </c:strRef>
          </c:cat>
          <c:val>
            <c:numRef>
              <c:f>T.POLMONE!$E$5:$E$9</c:f>
              <c:numCache>
                <c:formatCode>General</c:formatCode>
                <c:ptCount val="5"/>
                <c:pt idx="0">
                  <c:v>0</c:v>
                </c:pt>
                <c:pt idx="1">
                  <c:v>0</c:v>
                </c:pt>
                <c:pt idx="2">
                  <c:v>0.18939393939393939</c:v>
                </c:pt>
                <c:pt idx="3">
                  <c:v>0.31818181818181818</c:v>
                </c:pt>
                <c:pt idx="4">
                  <c:v>0.49242424242424243</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it-IT" sz="1400"/>
              <a:t>Mortalità T. fegato M</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Foglio1!$B$3</c:f>
              <c:strCache>
                <c:ptCount val="1"/>
                <c:pt idx="0">
                  <c:v>MASCHI</c:v>
                </c:pt>
              </c:strCache>
            </c:strRef>
          </c:tx>
          <c:dLbls>
            <c:numFmt formatCode="0.0%" sourceLinked="0"/>
            <c:showLegendKey val="0"/>
            <c:showVal val="0"/>
            <c:showCatName val="0"/>
            <c:showSerName val="0"/>
            <c:showPercent val="1"/>
            <c:showBubbleSize val="0"/>
            <c:showLeaderLines val="1"/>
          </c:dLbls>
          <c:cat>
            <c:strRef>
              <c:f>Foglio1!$A$5:$A$9</c:f>
              <c:strCache>
                <c:ptCount val="5"/>
                <c:pt idx="0">
                  <c:v>00-14</c:v>
                </c:pt>
                <c:pt idx="1">
                  <c:v>15-29</c:v>
                </c:pt>
                <c:pt idx="2">
                  <c:v>30-64</c:v>
                </c:pt>
                <c:pt idx="3">
                  <c:v>65-74</c:v>
                </c:pt>
                <c:pt idx="4">
                  <c:v>75+</c:v>
                </c:pt>
              </c:strCache>
            </c:strRef>
          </c:cat>
          <c:val>
            <c:numRef>
              <c:f>Foglio1!$C$5:$C$9</c:f>
              <c:numCache>
                <c:formatCode>General</c:formatCode>
                <c:ptCount val="5"/>
                <c:pt idx="0">
                  <c:v>0</c:v>
                </c:pt>
                <c:pt idx="1">
                  <c:v>1.0638297872340425E-2</c:v>
                </c:pt>
                <c:pt idx="2">
                  <c:v>0.15957446808510639</c:v>
                </c:pt>
                <c:pt idx="3">
                  <c:v>0.40425531914893614</c:v>
                </c:pt>
                <c:pt idx="4">
                  <c:v>0.42553191489361702</c:v>
                </c:pt>
              </c:numCache>
            </c:numRef>
          </c:val>
        </c:ser>
        <c:dLbls>
          <c:showLegendKey val="0"/>
          <c:showVal val="0"/>
          <c:showCatName val="0"/>
          <c:showSerName val="0"/>
          <c:showPercent val="1"/>
          <c:showBubbleSize val="0"/>
          <c:showLeaderLines val="1"/>
        </c:dLbls>
      </c:pie3DChart>
    </c:plotArea>
    <c:legend>
      <c:legendPos val="b"/>
      <c:overlay val="0"/>
      <c:txPr>
        <a:bodyPr/>
        <a:lstStyle/>
        <a:p>
          <a:pPr rtl="0">
            <a:defRPr/>
          </a:pPr>
          <a:endParaRPr lang="it-IT"/>
        </a:p>
      </c:txPr>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400"/>
            </a:pPr>
            <a:r>
              <a:rPr lang="it-IT" sz="1400"/>
              <a:t>Mortalità</a:t>
            </a:r>
            <a:r>
              <a:rPr lang="it-IT" sz="1400" baseline="0"/>
              <a:t> T. fegato </a:t>
            </a:r>
            <a:r>
              <a:rPr lang="it-IT" sz="1400"/>
              <a:t>F</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Foglio1!$D$3</c:f>
              <c:strCache>
                <c:ptCount val="1"/>
                <c:pt idx="0">
                  <c:v>FEMMINE</c:v>
                </c:pt>
              </c:strCache>
            </c:strRef>
          </c:tx>
          <c:dLbls>
            <c:dLbl>
              <c:idx val="0"/>
              <c:layout>
                <c:manualLayout>
                  <c:x val="-1.7064746172914928E-2"/>
                  <c:y val="-5.1146561417896717E-2"/>
                </c:manualLayout>
              </c:layout>
              <c:showLegendKey val="0"/>
              <c:showVal val="0"/>
              <c:showCatName val="0"/>
              <c:showSerName val="0"/>
              <c:showPercent val="1"/>
              <c:showBubbleSize val="0"/>
            </c:dLbl>
            <c:dLbl>
              <c:idx val="1"/>
              <c:layout>
                <c:manualLayout>
                  <c:x val="5.3967017614552582E-2"/>
                  <c:y val="-3.6790345840668051E-2"/>
                </c:manualLayout>
              </c:layout>
              <c:showLegendKey val="0"/>
              <c:showVal val="0"/>
              <c:showCatName val="0"/>
              <c:showSerName val="0"/>
              <c:showPercent val="1"/>
              <c:showBubbleSize val="0"/>
            </c:dLbl>
            <c:dLbl>
              <c:idx val="2"/>
              <c:layout>
                <c:manualLayout>
                  <c:x val="-4.3072126752187667E-3"/>
                  <c:y val="-3.7347073098288927E-2"/>
                </c:manualLayout>
              </c:layout>
              <c:showLegendKey val="0"/>
              <c:showVal val="0"/>
              <c:showCatName val="0"/>
              <c:showSerName val="0"/>
              <c:showPercent val="1"/>
              <c:showBubbleSize val="0"/>
            </c:dLbl>
            <c:dLbl>
              <c:idx val="3"/>
              <c:layout>
                <c:manualLayout>
                  <c:x val="0.11493203722835577"/>
                  <c:y val="-3.7347073098288927E-2"/>
                </c:manualLayout>
              </c:layout>
              <c:showLegendKey val="0"/>
              <c:showVal val="0"/>
              <c:showCatName val="0"/>
              <c:showSerName val="0"/>
              <c:showPercent val="1"/>
              <c:showBubbleSize val="0"/>
            </c:dLbl>
            <c:numFmt formatCode="0.0%" sourceLinked="0"/>
            <c:showLegendKey val="0"/>
            <c:showVal val="0"/>
            <c:showCatName val="0"/>
            <c:showSerName val="0"/>
            <c:showPercent val="1"/>
            <c:showBubbleSize val="0"/>
            <c:showLeaderLines val="1"/>
          </c:dLbls>
          <c:cat>
            <c:strRef>
              <c:f>Foglio1!$A$5:$A$9</c:f>
              <c:strCache>
                <c:ptCount val="5"/>
                <c:pt idx="0">
                  <c:v>00-14</c:v>
                </c:pt>
                <c:pt idx="1">
                  <c:v>15-29</c:v>
                </c:pt>
                <c:pt idx="2">
                  <c:v>30-64</c:v>
                </c:pt>
                <c:pt idx="3">
                  <c:v>65-74</c:v>
                </c:pt>
                <c:pt idx="4">
                  <c:v>75+</c:v>
                </c:pt>
              </c:strCache>
            </c:strRef>
          </c:cat>
          <c:val>
            <c:numRef>
              <c:f>Foglio1!$E$5:$E$9</c:f>
              <c:numCache>
                <c:formatCode>General</c:formatCode>
                <c:ptCount val="5"/>
                <c:pt idx="0">
                  <c:v>0</c:v>
                </c:pt>
                <c:pt idx="1">
                  <c:v>0</c:v>
                </c:pt>
                <c:pt idx="2">
                  <c:v>0.1206896551724138</c:v>
                </c:pt>
                <c:pt idx="3">
                  <c:v>0.1206896551724138</c:v>
                </c:pt>
                <c:pt idx="4">
                  <c:v>0.75862068965517238</c:v>
                </c:pt>
              </c:numCache>
            </c:numRef>
          </c:val>
        </c:ser>
        <c:dLbls>
          <c:showLegendKey val="0"/>
          <c:showVal val="0"/>
          <c:showCatName val="0"/>
          <c:showSerName val="0"/>
          <c:showPercent val="1"/>
          <c:showBubbleSize val="0"/>
          <c:showLeaderLines val="1"/>
        </c:dLbls>
      </c:pie3DChart>
    </c:plotArea>
    <c:legend>
      <c:legendPos val="b"/>
      <c:overlay val="0"/>
      <c:txPr>
        <a:bodyPr/>
        <a:lstStyle/>
        <a:p>
          <a:pPr rtl="0">
            <a:defRPr/>
          </a:pPr>
          <a:endParaRPr lang="it-IT"/>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Mortalità T. colon- M</a:t>
            </a:r>
          </a:p>
        </c:rich>
      </c:tx>
      <c:overlay val="0"/>
    </c:title>
    <c:autoTitleDeleted val="0"/>
    <c:plotArea>
      <c:layout/>
      <c:lineChart>
        <c:grouping val="standard"/>
        <c:varyColors val="0"/>
        <c:ser>
          <c:idx val="0"/>
          <c:order val="0"/>
          <c:tx>
            <c:strRef>
              <c:f>'T.colon-retto'!$B$3</c:f>
              <c:strCache>
                <c:ptCount val="1"/>
                <c:pt idx="0">
                  <c:v>ATS</c:v>
                </c:pt>
              </c:strCache>
            </c:strRef>
          </c:tx>
          <c:spPr>
            <a:ln>
              <a:solidFill>
                <a:schemeClr val="accent1"/>
              </a:solidFill>
            </a:ln>
          </c:spPr>
          <c:marker>
            <c:symbol val="none"/>
          </c:marker>
          <c:cat>
            <c:numRef>
              <c:f>'T.colon-retto'!$A$4:$A$12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'T.colon-retto'!$B$4:$B$12</c:f>
              <c:numCache>
                <c:formatCode>0.00</c:formatCode>
                <c:ptCount val="9"/>
                <c:pt idx="0">
                  <c:v>3.9037690756023471</c:v>
                </c:pt>
                <c:pt idx="1">
                  <c:v>4.1118768988235956</c:v>
                </c:pt>
                <c:pt idx="2">
                  <c:v>4.1494523408109139</c:v>
                </c:pt>
                <c:pt idx="3">
                  <c:v>3.6506262418953708</c:v>
                </c:pt>
                <c:pt idx="4">
                  <c:v>3.0772803559932491</c:v>
                </c:pt>
                <c:pt idx="5">
                  <c:v>3.5134017140537357</c:v>
                </c:pt>
                <c:pt idx="6">
                  <c:v>3.1824835667715745</c:v>
                </c:pt>
                <c:pt idx="7">
                  <c:v>3.4119751256918898</c:v>
                </c:pt>
                <c:pt idx="8">
                  <c:v>3.6348360578623558</c:v>
                </c:pt>
              </c:numCache>
            </c:numRef>
          </c:val>
          <c:smooth val="0"/>
        </c:ser>
        <c:ser>
          <c:idx val="1"/>
          <c:order val="1"/>
          <c:tx>
            <c:strRef>
              <c:f>'T.colon-retto'!$C$3</c:f>
              <c:strCache>
                <c:ptCount val="1"/>
                <c:pt idx="0">
                  <c:v>Lombardia</c:v>
                </c:pt>
              </c:strCache>
            </c:strRef>
          </c:tx>
          <c:marker>
            <c:symbol val="none"/>
          </c:marker>
          <c:cat>
            <c:numRef>
              <c:f>'T.colon-retto'!$A$4:$A$12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'T.colon-retto'!$C$4:$C$12</c:f>
              <c:numCache>
                <c:formatCode>General</c:formatCode>
                <c:ptCount val="9"/>
                <c:pt idx="0">
                  <c:v>3.8</c:v>
                </c:pt>
                <c:pt idx="1">
                  <c:v>4.07</c:v>
                </c:pt>
                <c:pt idx="2">
                  <c:v>3.62</c:v>
                </c:pt>
                <c:pt idx="3">
                  <c:v>3.65</c:v>
                </c:pt>
                <c:pt idx="4">
                  <c:v>3.48</c:v>
                </c:pt>
                <c:pt idx="5">
                  <c:v>3.65</c:v>
                </c:pt>
                <c:pt idx="6">
                  <c:v>3.35</c:v>
                </c:pt>
                <c:pt idx="7">
                  <c:v>3.12</c:v>
                </c:pt>
              </c:numCache>
            </c:numRef>
          </c:val>
          <c:smooth val="0"/>
        </c:ser>
        <c:ser>
          <c:idx val="2"/>
          <c:order val="2"/>
          <c:tx>
            <c:strRef>
              <c:f>'T.colon-retto'!$D$3</c:f>
              <c:strCache>
                <c:ptCount val="1"/>
                <c:pt idx="0">
                  <c:v>Italia</c:v>
                </c:pt>
              </c:strCache>
            </c:strRef>
          </c:tx>
          <c:marker>
            <c:symbol val="none"/>
          </c:marker>
          <c:cat>
            <c:numRef>
              <c:f>'T.colon-retto'!$A$4:$A$12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'T.colon-retto'!$D$4:$D$12</c:f>
              <c:numCache>
                <c:formatCode>General</c:formatCode>
                <c:ptCount val="9"/>
                <c:pt idx="0">
                  <c:v>3.7</c:v>
                </c:pt>
                <c:pt idx="1">
                  <c:v>3.67</c:v>
                </c:pt>
                <c:pt idx="2">
                  <c:v>3.63</c:v>
                </c:pt>
                <c:pt idx="3">
                  <c:v>3.61</c:v>
                </c:pt>
                <c:pt idx="4">
                  <c:v>3.59</c:v>
                </c:pt>
                <c:pt idx="5">
                  <c:v>3.59</c:v>
                </c:pt>
                <c:pt idx="6">
                  <c:v>3.4</c:v>
                </c:pt>
                <c:pt idx="7">
                  <c:v>3.29</c:v>
                </c:pt>
              </c:numCache>
            </c:numRef>
          </c:val>
          <c:smooth val="0"/>
        </c:ser>
        <c:dLbls>
          <c:showLegendKey val="0"/>
          <c:showVal val="0"/>
          <c:showCatName val="0"/>
          <c:showSerName val="0"/>
          <c:showPercent val="0"/>
          <c:showBubbleSize val="0"/>
        </c:dLbls>
        <c:marker val="1"/>
        <c:smooth val="0"/>
        <c:axId val="110040960"/>
        <c:axId val="110042496"/>
      </c:lineChart>
      <c:catAx>
        <c:axId val="110040960"/>
        <c:scaling>
          <c:orientation val="minMax"/>
        </c:scaling>
        <c:delete val="0"/>
        <c:axPos val="b"/>
        <c:numFmt formatCode="General" sourceLinked="1"/>
        <c:majorTickMark val="none"/>
        <c:minorTickMark val="none"/>
        <c:tickLblPos val="nextTo"/>
        <c:crossAx val="110042496"/>
        <c:crosses val="autoZero"/>
        <c:auto val="1"/>
        <c:lblAlgn val="ctr"/>
        <c:lblOffset val="100"/>
        <c:noMultiLvlLbl val="0"/>
      </c:catAx>
      <c:valAx>
        <c:axId val="110042496"/>
        <c:scaling>
          <c:orientation val="minMax"/>
        </c:scaling>
        <c:delete val="0"/>
        <c:axPos val="l"/>
        <c:majorGridlines/>
        <c:numFmt formatCode="0.0" sourceLinked="0"/>
        <c:majorTickMark val="none"/>
        <c:minorTickMark val="none"/>
        <c:tickLblPos val="nextTo"/>
        <c:spPr>
          <a:ln w="9525">
            <a:noFill/>
          </a:ln>
        </c:spPr>
        <c:crossAx val="110040960"/>
        <c:crosses val="autoZero"/>
        <c:crossBetween val="between"/>
      </c:valAx>
      <c:spPr>
        <a:ln>
          <a:solidFill>
            <a:schemeClr val="bg1">
              <a:lumMod val="50000"/>
            </a:schemeClr>
          </a:solidFill>
        </a:ln>
      </c:spPr>
    </c:plotArea>
    <c:legend>
      <c:legendPos val="b"/>
      <c:overlay val="0"/>
    </c:legend>
    <c:plotVisOnly val="1"/>
    <c:dispBlanksAs val="gap"/>
    <c:showDLblsOverMax val="0"/>
  </c:chart>
  <c:txPr>
    <a:bodyPr/>
    <a:lstStyle/>
    <a:p>
      <a:pPr>
        <a:defRPr sz="900"/>
      </a:pPr>
      <a:endParaRPr lang="it-IT"/>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Mortalità T. colon- F</a:t>
            </a:r>
            <a:endParaRPr lang="it-IT" sz="1200"/>
          </a:p>
        </c:rich>
      </c:tx>
      <c:layout>
        <c:manualLayout>
          <c:xMode val="edge"/>
          <c:yMode val="edge"/>
          <c:x val="0.32285714285714279"/>
          <c:y val="2.3847376788553261E-2"/>
        </c:manualLayout>
      </c:layout>
      <c:overlay val="0"/>
    </c:title>
    <c:autoTitleDeleted val="0"/>
    <c:plotArea>
      <c:layout/>
      <c:lineChart>
        <c:grouping val="standard"/>
        <c:varyColors val="0"/>
        <c:ser>
          <c:idx val="0"/>
          <c:order val="0"/>
          <c:tx>
            <c:strRef>
              <c:f>'T.colon-retto'!$B$3</c:f>
              <c:strCache>
                <c:ptCount val="1"/>
                <c:pt idx="0">
                  <c:v>ATS</c:v>
                </c:pt>
              </c:strCache>
            </c:strRef>
          </c:tx>
          <c:spPr>
            <a:ln>
              <a:solidFill>
                <a:schemeClr val="accent1"/>
              </a:solidFill>
            </a:ln>
          </c:spPr>
          <c:marker>
            <c:symbol val="none"/>
          </c:marker>
          <c:cat>
            <c:numRef>
              <c:f>'T.colon-retto'!$A$4:$A$12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'T.colon-retto'!$M$4:$M$12</c:f>
              <c:numCache>
                <c:formatCode>0.00</c:formatCode>
                <c:ptCount val="9"/>
                <c:pt idx="0">
                  <c:v>2.4062948595826712</c:v>
                </c:pt>
                <c:pt idx="1">
                  <c:v>1.710870034803138</c:v>
                </c:pt>
                <c:pt idx="2">
                  <c:v>2.4174914379423589</c:v>
                </c:pt>
                <c:pt idx="3">
                  <c:v>1.979400543761958</c:v>
                </c:pt>
                <c:pt idx="4">
                  <c:v>1.863644536573444</c:v>
                </c:pt>
                <c:pt idx="5">
                  <c:v>1.9192975871430129</c:v>
                </c:pt>
                <c:pt idx="6">
                  <c:v>2.3314962503157903</c:v>
                </c:pt>
                <c:pt idx="7">
                  <c:v>1.8288124648170647</c:v>
                </c:pt>
                <c:pt idx="8">
                  <c:v>2.1980844505159505</c:v>
                </c:pt>
              </c:numCache>
            </c:numRef>
          </c:val>
          <c:smooth val="0"/>
        </c:ser>
        <c:ser>
          <c:idx val="1"/>
          <c:order val="1"/>
          <c:tx>
            <c:strRef>
              <c:f>'T.colon-retto'!$C$3</c:f>
              <c:strCache>
                <c:ptCount val="1"/>
                <c:pt idx="0">
                  <c:v>Lombardia</c:v>
                </c:pt>
              </c:strCache>
            </c:strRef>
          </c:tx>
          <c:marker>
            <c:symbol val="none"/>
          </c:marker>
          <c:cat>
            <c:numRef>
              <c:f>'T.colon-retto'!$A$4:$A$12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'T.colon-retto'!$N$4:$N$12</c:f>
              <c:numCache>
                <c:formatCode>General</c:formatCode>
                <c:ptCount val="9"/>
                <c:pt idx="0">
                  <c:v>2.3199999999999998</c:v>
                </c:pt>
                <c:pt idx="1">
                  <c:v>2.19</c:v>
                </c:pt>
                <c:pt idx="2">
                  <c:v>2.2000000000000002</c:v>
                </c:pt>
                <c:pt idx="3">
                  <c:v>2.1</c:v>
                </c:pt>
                <c:pt idx="4">
                  <c:v>2.04</c:v>
                </c:pt>
                <c:pt idx="5">
                  <c:v>2.04</c:v>
                </c:pt>
                <c:pt idx="6">
                  <c:v>1.94</c:v>
                </c:pt>
                <c:pt idx="7">
                  <c:v>1.89</c:v>
                </c:pt>
              </c:numCache>
            </c:numRef>
          </c:val>
          <c:smooth val="0"/>
        </c:ser>
        <c:ser>
          <c:idx val="2"/>
          <c:order val="2"/>
          <c:tx>
            <c:strRef>
              <c:f>'T.colon-retto'!$O$3</c:f>
              <c:strCache>
                <c:ptCount val="1"/>
                <c:pt idx="0">
                  <c:v>Italia</c:v>
                </c:pt>
              </c:strCache>
            </c:strRef>
          </c:tx>
          <c:marker>
            <c:symbol val="none"/>
          </c:marker>
          <c:cat>
            <c:numRef>
              <c:f>'T.colon-retto'!$A$4:$A$12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'T.colon-retto'!$O$4:$O$12</c:f>
              <c:numCache>
                <c:formatCode>General</c:formatCode>
                <c:ptCount val="9"/>
                <c:pt idx="0">
                  <c:v>2.23</c:v>
                </c:pt>
                <c:pt idx="1">
                  <c:v>2.17</c:v>
                </c:pt>
                <c:pt idx="2">
                  <c:v>2.12</c:v>
                </c:pt>
                <c:pt idx="3">
                  <c:v>2.1</c:v>
                </c:pt>
                <c:pt idx="4">
                  <c:v>2.11</c:v>
                </c:pt>
                <c:pt idx="5">
                  <c:v>2.09</c:v>
                </c:pt>
                <c:pt idx="6">
                  <c:v>1.98</c:v>
                </c:pt>
                <c:pt idx="7">
                  <c:v>1.93</c:v>
                </c:pt>
              </c:numCache>
            </c:numRef>
          </c:val>
          <c:smooth val="0"/>
        </c:ser>
        <c:dLbls>
          <c:showLegendKey val="0"/>
          <c:showVal val="0"/>
          <c:showCatName val="0"/>
          <c:showSerName val="0"/>
          <c:showPercent val="0"/>
          <c:showBubbleSize val="0"/>
        </c:dLbls>
        <c:marker val="1"/>
        <c:smooth val="0"/>
        <c:axId val="110072960"/>
        <c:axId val="110074496"/>
      </c:lineChart>
      <c:catAx>
        <c:axId val="110072960"/>
        <c:scaling>
          <c:orientation val="minMax"/>
        </c:scaling>
        <c:delete val="0"/>
        <c:axPos val="b"/>
        <c:numFmt formatCode="General" sourceLinked="1"/>
        <c:majorTickMark val="none"/>
        <c:minorTickMark val="none"/>
        <c:tickLblPos val="nextTo"/>
        <c:crossAx val="110074496"/>
        <c:crosses val="autoZero"/>
        <c:auto val="1"/>
        <c:lblAlgn val="ctr"/>
        <c:lblOffset val="100"/>
        <c:noMultiLvlLbl val="0"/>
      </c:catAx>
      <c:valAx>
        <c:axId val="110074496"/>
        <c:scaling>
          <c:orientation val="minMax"/>
          <c:max val="4"/>
        </c:scaling>
        <c:delete val="0"/>
        <c:axPos val="l"/>
        <c:majorGridlines/>
        <c:numFmt formatCode="0.0" sourceLinked="0"/>
        <c:majorTickMark val="none"/>
        <c:minorTickMark val="none"/>
        <c:tickLblPos val="nextTo"/>
        <c:spPr>
          <a:ln w="9525">
            <a:noFill/>
          </a:ln>
        </c:spPr>
        <c:crossAx val="110072960"/>
        <c:crosses val="autoZero"/>
        <c:crossBetween val="between"/>
        <c:majorUnit val="1"/>
        <c:minorUnit val="0.1"/>
      </c:valAx>
      <c:spPr>
        <a:ln>
          <a:solidFill>
            <a:schemeClr val="bg1">
              <a:lumMod val="50000"/>
            </a:schemeClr>
          </a:solidFill>
        </a:ln>
      </c:spPr>
    </c:plotArea>
    <c:legend>
      <c:legendPos val="b"/>
      <c:overlay val="0"/>
    </c:legend>
    <c:plotVisOnly val="1"/>
    <c:dispBlanksAs val="gap"/>
    <c:showDLblsOverMax val="0"/>
  </c:chart>
  <c:txPr>
    <a:bodyPr/>
    <a:lstStyle/>
    <a:p>
      <a:pPr>
        <a:defRPr sz="900"/>
      </a:pPr>
      <a:endParaRPr lang="it-IT"/>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Mortalità T. mammella </a:t>
            </a:r>
          </a:p>
        </c:rich>
      </c:tx>
      <c:overlay val="0"/>
    </c:title>
    <c:autoTitleDeleted val="0"/>
    <c:plotArea>
      <c:layout/>
      <c:lineChart>
        <c:grouping val="standard"/>
        <c:varyColors val="0"/>
        <c:ser>
          <c:idx val="0"/>
          <c:order val="0"/>
          <c:tx>
            <c:strRef>
              <c:f>T.mammella!$B$3</c:f>
              <c:strCache>
                <c:ptCount val="1"/>
                <c:pt idx="0">
                  <c:v>ATS</c:v>
                </c:pt>
              </c:strCache>
            </c:strRef>
          </c:tx>
          <c:spPr>
            <a:ln>
              <a:solidFill>
                <a:schemeClr val="accent1"/>
              </a:solidFill>
            </a:ln>
          </c:spPr>
          <c:marker>
            <c:symbol val="none"/>
          </c:marker>
          <c:cat>
            <c:numRef>
              <c:f>T.mammella!$A$4:$A$12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T.mammella!$M$4:$M$12</c:f>
              <c:numCache>
                <c:formatCode>0.00</c:formatCode>
                <c:ptCount val="9"/>
                <c:pt idx="0">
                  <c:v>4.0709318256486089</c:v>
                </c:pt>
                <c:pt idx="1">
                  <c:v>3.6144349781606082</c:v>
                </c:pt>
                <c:pt idx="2">
                  <c:v>4.028977034071076</c:v>
                </c:pt>
                <c:pt idx="3">
                  <c:v>3.7189430066603069</c:v>
                </c:pt>
                <c:pt idx="4">
                  <c:v>3.7474896646443696</c:v>
                </c:pt>
                <c:pt idx="5">
                  <c:v>3.8352577799391181</c:v>
                </c:pt>
                <c:pt idx="6">
                  <c:v>3.4026330745778601</c:v>
                </c:pt>
                <c:pt idx="7">
                  <c:v>3.9322845961145374</c:v>
                </c:pt>
                <c:pt idx="8">
                  <c:v>3.2239870848972441</c:v>
                </c:pt>
              </c:numCache>
            </c:numRef>
          </c:val>
          <c:smooth val="0"/>
        </c:ser>
        <c:ser>
          <c:idx val="1"/>
          <c:order val="1"/>
          <c:tx>
            <c:strRef>
              <c:f>T.mammella!$C$3</c:f>
              <c:strCache>
                <c:ptCount val="1"/>
                <c:pt idx="0">
                  <c:v>Lombardia</c:v>
                </c:pt>
              </c:strCache>
            </c:strRef>
          </c:tx>
          <c:marker>
            <c:symbol val="none"/>
          </c:marker>
          <c:cat>
            <c:numRef>
              <c:f>T.mammella!$A$4:$A$12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T.mammella!$N$4:$N$12</c:f>
              <c:numCache>
                <c:formatCode>General</c:formatCode>
                <c:ptCount val="9"/>
                <c:pt idx="0">
                  <c:v>3.71</c:v>
                </c:pt>
                <c:pt idx="1">
                  <c:v>3.83</c:v>
                </c:pt>
                <c:pt idx="2">
                  <c:v>3.66</c:v>
                </c:pt>
                <c:pt idx="3">
                  <c:v>3.62</c:v>
                </c:pt>
                <c:pt idx="4">
                  <c:v>3.44</c:v>
                </c:pt>
                <c:pt idx="5">
                  <c:v>3.37</c:v>
                </c:pt>
                <c:pt idx="6">
                  <c:v>3.34</c:v>
                </c:pt>
                <c:pt idx="7">
                  <c:v>3.39</c:v>
                </c:pt>
              </c:numCache>
            </c:numRef>
          </c:val>
          <c:smooth val="0"/>
        </c:ser>
        <c:ser>
          <c:idx val="2"/>
          <c:order val="2"/>
          <c:tx>
            <c:strRef>
              <c:f>T.mammella!$O$3</c:f>
              <c:strCache>
                <c:ptCount val="1"/>
                <c:pt idx="0">
                  <c:v>Italia</c:v>
                </c:pt>
              </c:strCache>
            </c:strRef>
          </c:tx>
          <c:marker>
            <c:symbol val="none"/>
          </c:marker>
          <c:cat>
            <c:numRef>
              <c:f>T.mammella!$A$4:$A$12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T.mammella!$O$4:$O$12</c:f>
              <c:numCache>
                <c:formatCode>General</c:formatCode>
                <c:ptCount val="9"/>
                <c:pt idx="0">
                  <c:v>3.29</c:v>
                </c:pt>
                <c:pt idx="1">
                  <c:v>3.29</c:v>
                </c:pt>
                <c:pt idx="2">
                  <c:v>3.24</c:v>
                </c:pt>
                <c:pt idx="3">
                  <c:v>3.16</c:v>
                </c:pt>
                <c:pt idx="4">
                  <c:v>3.09</c:v>
                </c:pt>
                <c:pt idx="5">
                  <c:v>3.06</c:v>
                </c:pt>
                <c:pt idx="6">
                  <c:v>2.98</c:v>
                </c:pt>
                <c:pt idx="7">
                  <c:v>2.99</c:v>
                </c:pt>
              </c:numCache>
            </c:numRef>
          </c:val>
          <c:smooth val="0"/>
        </c:ser>
        <c:dLbls>
          <c:showLegendKey val="0"/>
          <c:showVal val="0"/>
          <c:showCatName val="0"/>
          <c:showSerName val="0"/>
          <c:showPercent val="0"/>
          <c:showBubbleSize val="0"/>
        </c:dLbls>
        <c:marker val="1"/>
        <c:smooth val="0"/>
        <c:axId val="110113152"/>
        <c:axId val="110114688"/>
      </c:lineChart>
      <c:catAx>
        <c:axId val="110113152"/>
        <c:scaling>
          <c:orientation val="minMax"/>
        </c:scaling>
        <c:delete val="0"/>
        <c:axPos val="b"/>
        <c:numFmt formatCode="General" sourceLinked="1"/>
        <c:majorTickMark val="none"/>
        <c:minorTickMark val="none"/>
        <c:tickLblPos val="nextTo"/>
        <c:crossAx val="110114688"/>
        <c:crosses val="autoZero"/>
        <c:auto val="1"/>
        <c:lblAlgn val="ctr"/>
        <c:lblOffset val="100"/>
        <c:noMultiLvlLbl val="0"/>
      </c:catAx>
      <c:valAx>
        <c:axId val="110114688"/>
        <c:scaling>
          <c:orientation val="minMax"/>
        </c:scaling>
        <c:delete val="0"/>
        <c:axPos val="l"/>
        <c:majorGridlines/>
        <c:numFmt formatCode="0.0" sourceLinked="0"/>
        <c:majorTickMark val="none"/>
        <c:minorTickMark val="none"/>
        <c:tickLblPos val="nextTo"/>
        <c:spPr>
          <a:ln w="9525">
            <a:noFill/>
          </a:ln>
        </c:spPr>
        <c:crossAx val="110113152"/>
        <c:crosses val="autoZero"/>
        <c:crossBetween val="between"/>
      </c:valAx>
      <c:spPr>
        <a:ln>
          <a:solidFill>
            <a:schemeClr val="bg1">
              <a:lumMod val="50000"/>
            </a:schemeClr>
          </a:solidFill>
        </a:ln>
      </c:spPr>
    </c:plotArea>
    <c:legend>
      <c:legendPos val="b"/>
      <c:overlay val="0"/>
    </c:legend>
    <c:plotVisOnly val="1"/>
    <c:dispBlanksAs val="gap"/>
    <c:showDLblsOverMax val="0"/>
  </c:chart>
  <c:txPr>
    <a:bodyPr/>
    <a:lstStyle/>
    <a:p>
      <a:pPr>
        <a:defRPr sz="900"/>
      </a:pPr>
      <a:endParaRPr lang="it-IT"/>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Mortalità T. utero</a:t>
            </a:r>
            <a:endParaRPr lang="it-IT" sz="1200"/>
          </a:p>
        </c:rich>
      </c:tx>
      <c:overlay val="0"/>
    </c:title>
    <c:autoTitleDeleted val="0"/>
    <c:plotArea>
      <c:layout/>
      <c:lineChart>
        <c:grouping val="standard"/>
        <c:varyColors val="0"/>
        <c:ser>
          <c:idx val="0"/>
          <c:order val="0"/>
          <c:tx>
            <c:strRef>
              <c:f>T.utero!$B$3</c:f>
              <c:strCache>
                <c:ptCount val="1"/>
                <c:pt idx="0">
                  <c:v>ATS</c:v>
                </c:pt>
              </c:strCache>
            </c:strRef>
          </c:tx>
          <c:spPr>
            <a:ln>
              <a:solidFill>
                <a:schemeClr val="accent1"/>
              </a:solidFill>
            </a:ln>
          </c:spPr>
          <c:marker>
            <c:symbol val="none"/>
          </c:marker>
          <c:cat>
            <c:numRef>
              <c:f>T.utero!$A$4:$A$12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T.utero!$M$4:$M$12</c:f>
              <c:numCache>
                <c:formatCode>0.00</c:formatCode>
                <c:ptCount val="9"/>
                <c:pt idx="0">
                  <c:v>0.79960627098761217</c:v>
                </c:pt>
                <c:pt idx="1">
                  <c:v>0.33563745457529476</c:v>
                </c:pt>
                <c:pt idx="2">
                  <c:v>0.83598314886897196</c:v>
                </c:pt>
                <c:pt idx="3">
                  <c:v>0.75681813628596617</c:v>
                </c:pt>
                <c:pt idx="4">
                  <c:v>0.66348071526481434</c:v>
                </c:pt>
                <c:pt idx="5">
                  <c:v>0.70071642830746395</c:v>
                </c:pt>
                <c:pt idx="6">
                  <c:v>0.54547093830423454</c:v>
                </c:pt>
                <c:pt idx="7">
                  <c:v>0.85404338635395027</c:v>
                </c:pt>
                <c:pt idx="8">
                  <c:v>0.53300978884469086</c:v>
                </c:pt>
              </c:numCache>
            </c:numRef>
          </c:val>
          <c:smooth val="0"/>
        </c:ser>
        <c:ser>
          <c:idx val="1"/>
          <c:order val="1"/>
          <c:tx>
            <c:strRef>
              <c:f>T.utero!$C$3</c:f>
              <c:strCache>
                <c:ptCount val="1"/>
                <c:pt idx="0">
                  <c:v>Lombardia</c:v>
                </c:pt>
              </c:strCache>
            </c:strRef>
          </c:tx>
          <c:marker>
            <c:symbol val="none"/>
          </c:marker>
          <c:cat>
            <c:numRef>
              <c:f>T.utero!$A$4:$A$12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T.utero!$N$4:$N$12</c:f>
              <c:numCache>
                <c:formatCode>General</c:formatCode>
                <c:ptCount val="9"/>
                <c:pt idx="0">
                  <c:v>0.68</c:v>
                </c:pt>
                <c:pt idx="1">
                  <c:v>0.63</c:v>
                </c:pt>
                <c:pt idx="2">
                  <c:v>0.72</c:v>
                </c:pt>
                <c:pt idx="3">
                  <c:v>0.67</c:v>
                </c:pt>
                <c:pt idx="4">
                  <c:v>0.71</c:v>
                </c:pt>
                <c:pt idx="5">
                  <c:v>0.66</c:v>
                </c:pt>
                <c:pt idx="6">
                  <c:v>0.6</c:v>
                </c:pt>
                <c:pt idx="7">
                  <c:v>0.66</c:v>
                </c:pt>
              </c:numCache>
            </c:numRef>
          </c:val>
          <c:smooth val="0"/>
        </c:ser>
        <c:ser>
          <c:idx val="2"/>
          <c:order val="2"/>
          <c:tx>
            <c:strRef>
              <c:f>T.utero!$O$3</c:f>
              <c:strCache>
                <c:ptCount val="1"/>
                <c:pt idx="0">
                  <c:v>Italia</c:v>
                </c:pt>
              </c:strCache>
            </c:strRef>
          </c:tx>
          <c:marker>
            <c:symbol val="none"/>
          </c:marker>
          <c:cat>
            <c:numRef>
              <c:f>T.utero!$A$4:$A$12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T.utero!$O$4:$O$12</c:f>
              <c:numCache>
                <c:formatCode>General</c:formatCode>
                <c:ptCount val="9"/>
                <c:pt idx="0">
                  <c:v>0.77</c:v>
                </c:pt>
                <c:pt idx="1">
                  <c:v>0.75</c:v>
                </c:pt>
                <c:pt idx="2">
                  <c:v>0.76</c:v>
                </c:pt>
                <c:pt idx="3">
                  <c:v>0.74</c:v>
                </c:pt>
                <c:pt idx="4">
                  <c:v>0.76</c:v>
                </c:pt>
                <c:pt idx="5">
                  <c:v>0.74</c:v>
                </c:pt>
                <c:pt idx="6">
                  <c:v>0.75</c:v>
                </c:pt>
                <c:pt idx="7">
                  <c:v>0.74</c:v>
                </c:pt>
              </c:numCache>
            </c:numRef>
          </c:val>
          <c:smooth val="0"/>
        </c:ser>
        <c:dLbls>
          <c:showLegendKey val="0"/>
          <c:showVal val="0"/>
          <c:showCatName val="0"/>
          <c:showSerName val="0"/>
          <c:showPercent val="0"/>
          <c:showBubbleSize val="0"/>
        </c:dLbls>
        <c:marker val="1"/>
        <c:smooth val="0"/>
        <c:axId val="110136704"/>
        <c:axId val="110142592"/>
      </c:lineChart>
      <c:catAx>
        <c:axId val="110136704"/>
        <c:scaling>
          <c:orientation val="minMax"/>
        </c:scaling>
        <c:delete val="0"/>
        <c:axPos val="b"/>
        <c:numFmt formatCode="General" sourceLinked="1"/>
        <c:majorTickMark val="none"/>
        <c:minorTickMark val="none"/>
        <c:tickLblPos val="nextTo"/>
        <c:crossAx val="110142592"/>
        <c:crosses val="autoZero"/>
        <c:auto val="1"/>
        <c:lblAlgn val="ctr"/>
        <c:lblOffset val="100"/>
        <c:noMultiLvlLbl val="0"/>
      </c:catAx>
      <c:valAx>
        <c:axId val="110142592"/>
        <c:scaling>
          <c:orientation val="minMax"/>
        </c:scaling>
        <c:delete val="0"/>
        <c:axPos val="l"/>
        <c:majorGridlines/>
        <c:numFmt formatCode="0.0" sourceLinked="0"/>
        <c:majorTickMark val="none"/>
        <c:minorTickMark val="none"/>
        <c:tickLblPos val="nextTo"/>
        <c:spPr>
          <a:ln w="9525">
            <a:noFill/>
          </a:ln>
        </c:spPr>
        <c:crossAx val="110136704"/>
        <c:crosses val="autoZero"/>
        <c:crossBetween val="between"/>
      </c:valAx>
      <c:spPr>
        <a:ln>
          <a:solidFill>
            <a:schemeClr val="bg1">
              <a:lumMod val="50000"/>
            </a:schemeClr>
          </a:solidFill>
        </a:ln>
      </c:spPr>
    </c:plotArea>
    <c:legend>
      <c:legendPos val="b"/>
      <c:overlay val="0"/>
    </c:legend>
    <c:plotVisOnly val="1"/>
    <c:dispBlanksAs val="gap"/>
    <c:showDLblsOverMax val="0"/>
  </c:chart>
  <c:txPr>
    <a:bodyPr/>
    <a:lstStyle/>
    <a:p>
      <a:pPr>
        <a:defRPr sz="900"/>
      </a:pPr>
      <a:endParaRPr lang="it-IT"/>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Mortalità T. stomaco -M</a:t>
            </a:r>
          </a:p>
        </c:rich>
      </c:tx>
      <c:overlay val="0"/>
    </c:title>
    <c:autoTitleDeleted val="0"/>
    <c:plotArea>
      <c:layout/>
      <c:lineChart>
        <c:grouping val="standard"/>
        <c:varyColors val="0"/>
        <c:ser>
          <c:idx val="0"/>
          <c:order val="0"/>
          <c:tx>
            <c:strRef>
              <c:f>T.stomaco!$B$3</c:f>
              <c:strCache>
                <c:ptCount val="1"/>
                <c:pt idx="0">
                  <c:v>ATS</c:v>
                </c:pt>
              </c:strCache>
            </c:strRef>
          </c:tx>
          <c:spPr>
            <a:ln>
              <a:solidFill>
                <a:schemeClr val="accent1"/>
              </a:solidFill>
            </a:ln>
          </c:spPr>
          <c:marker>
            <c:symbol val="none"/>
          </c:marker>
          <c:cat>
            <c:numRef>
              <c:f>T.stomaco!$A$4:$A$12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T.stomaco!$B$4:$B$12</c:f>
              <c:numCache>
                <c:formatCode>0.00</c:formatCode>
                <c:ptCount val="9"/>
                <c:pt idx="0">
                  <c:v>3.3696762593022971</c:v>
                </c:pt>
                <c:pt idx="1">
                  <c:v>3.1851599685277407</c:v>
                </c:pt>
                <c:pt idx="2">
                  <c:v>3.7713060969353602</c:v>
                </c:pt>
                <c:pt idx="3">
                  <c:v>3.1277644603370458</c:v>
                </c:pt>
                <c:pt idx="4">
                  <c:v>2.3510049314054724</c:v>
                </c:pt>
                <c:pt idx="5">
                  <c:v>2.5204320543322938</c:v>
                </c:pt>
                <c:pt idx="6">
                  <c:v>2.9138136698757857</c:v>
                </c:pt>
                <c:pt idx="7">
                  <c:v>2.9752387098246134</c:v>
                </c:pt>
                <c:pt idx="8">
                  <c:v>2.6552380041070376</c:v>
                </c:pt>
              </c:numCache>
            </c:numRef>
          </c:val>
          <c:smooth val="0"/>
        </c:ser>
        <c:ser>
          <c:idx val="1"/>
          <c:order val="1"/>
          <c:tx>
            <c:strRef>
              <c:f>T.stomaco!$C$3</c:f>
              <c:strCache>
                <c:ptCount val="1"/>
                <c:pt idx="0">
                  <c:v>Lombardia</c:v>
                </c:pt>
              </c:strCache>
            </c:strRef>
          </c:tx>
          <c:marker>
            <c:symbol val="none"/>
          </c:marker>
          <c:cat>
            <c:numRef>
              <c:f>T.stomaco!$A$4:$A$12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T.stomaco!$C$4:$C$12</c:f>
              <c:numCache>
                <c:formatCode>General</c:formatCode>
                <c:ptCount val="9"/>
                <c:pt idx="0">
                  <c:v>2.94</c:v>
                </c:pt>
                <c:pt idx="1">
                  <c:v>2.59</c:v>
                </c:pt>
                <c:pt idx="2">
                  <c:v>2.69</c:v>
                </c:pt>
                <c:pt idx="3">
                  <c:v>2.54</c:v>
                </c:pt>
                <c:pt idx="4">
                  <c:v>2.4</c:v>
                </c:pt>
                <c:pt idx="5">
                  <c:v>2.5299999999999998</c:v>
                </c:pt>
                <c:pt idx="6">
                  <c:v>2.25</c:v>
                </c:pt>
                <c:pt idx="7">
                  <c:v>2.2400000000000002</c:v>
                </c:pt>
              </c:numCache>
            </c:numRef>
          </c:val>
          <c:smooth val="0"/>
        </c:ser>
        <c:ser>
          <c:idx val="2"/>
          <c:order val="2"/>
          <c:tx>
            <c:strRef>
              <c:f>T.stomaco!$D$3</c:f>
              <c:strCache>
                <c:ptCount val="1"/>
                <c:pt idx="0">
                  <c:v>Italia</c:v>
                </c:pt>
              </c:strCache>
            </c:strRef>
          </c:tx>
          <c:marker>
            <c:symbol val="none"/>
          </c:marker>
          <c:cat>
            <c:numRef>
              <c:f>T.stomaco!$A$4:$A$12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T.stomaco!$D$4:$D$12</c:f>
              <c:numCache>
                <c:formatCode>General</c:formatCode>
                <c:ptCount val="9"/>
                <c:pt idx="0">
                  <c:v>2.31</c:v>
                </c:pt>
                <c:pt idx="1">
                  <c:v>2.19</c:v>
                </c:pt>
                <c:pt idx="2">
                  <c:v>2.14</c:v>
                </c:pt>
                <c:pt idx="3">
                  <c:v>2.06</c:v>
                </c:pt>
                <c:pt idx="4">
                  <c:v>2.0099999999999998</c:v>
                </c:pt>
                <c:pt idx="5">
                  <c:v>1.99</c:v>
                </c:pt>
                <c:pt idx="6">
                  <c:v>1.85</c:v>
                </c:pt>
                <c:pt idx="7">
                  <c:v>1.86</c:v>
                </c:pt>
              </c:numCache>
            </c:numRef>
          </c:val>
          <c:smooth val="0"/>
        </c:ser>
        <c:dLbls>
          <c:showLegendKey val="0"/>
          <c:showVal val="0"/>
          <c:showCatName val="0"/>
          <c:showSerName val="0"/>
          <c:showPercent val="0"/>
          <c:showBubbleSize val="0"/>
        </c:dLbls>
        <c:marker val="1"/>
        <c:smooth val="0"/>
        <c:axId val="109791872"/>
        <c:axId val="109801856"/>
      </c:lineChart>
      <c:catAx>
        <c:axId val="109791872"/>
        <c:scaling>
          <c:orientation val="minMax"/>
        </c:scaling>
        <c:delete val="0"/>
        <c:axPos val="b"/>
        <c:numFmt formatCode="General" sourceLinked="1"/>
        <c:majorTickMark val="none"/>
        <c:minorTickMark val="none"/>
        <c:tickLblPos val="nextTo"/>
        <c:crossAx val="109801856"/>
        <c:crosses val="autoZero"/>
        <c:auto val="1"/>
        <c:lblAlgn val="ctr"/>
        <c:lblOffset val="100"/>
        <c:noMultiLvlLbl val="0"/>
      </c:catAx>
      <c:valAx>
        <c:axId val="109801856"/>
        <c:scaling>
          <c:orientation val="minMax"/>
        </c:scaling>
        <c:delete val="0"/>
        <c:axPos val="l"/>
        <c:majorGridlines/>
        <c:numFmt formatCode="0.0" sourceLinked="0"/>
        <c:majorTickMark val="none"/>
        <c:minorTickMark val="none"/>
        <c:tickLblPos val="nextTo"/>
        <c:spPr>
          <a:ln w="9525">
            <a:noFill/>
          </a:ln>
        </c:spPr>
        <c:crossAx val="109791872"/>
        <c:crosses val="autoZero"/>
        <c:crossBetween val="between"/>
      </c:valAx>
      <c:spPr>
        <a:ln>
          <a:solidFill>
            <a:schemeClr val="bg1">
              <a:lumMod val="50000"/>
            </a:schemeClr>
          </a:solidFill>
        </a:ln>
      </c:spPr>
    </c:plotArea>
    <c:legend>
      <c:legendPos val="b"/>
      <c:overlay val="0"/>
    </c:legend>
    <c:plotVisOnly val="1"/>
    <c:dispBlanksAs val="gap"/>
    <c:showDLblsOverMax val="0"/>
  </c:chart>
  <c:txPr>
    <a:bodyPr/>
    <a:lstStyle/>
    <a:p>
      <a:pPr>
        <a:defRPr sz="900"/>
      </a:pPr>
      <a:endParaRPr lang="it-IT"/>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Mortalità T. stomaco -F</a:t>
            </a:r>
          </a:p>
        </c:rich>
      </c:tx>
      <c:overlay val="0"/>
    </c:title>
    <c:autoTitleDeleted val="0"/>
    <c:plotArea>
      <c:layout/>
      <c:lineChart>
        <c:grouping val="standard"/>
        <c:varyColors val="0"/>
        <c:ser>
          <c:idx val="0"/>
          <c:order val="0"/>
          <c:tx>
            <c:strRef>
              <c:f>T.stomaco!$M$3</c:f>
              <c:strCache>
                <c:ptCount val="1"/>
                <c:pt idx="0">
                  <c:v>ATS</c:v>
                </c:pt>
              </c:strCache>
            </c:strRef>
          </c:tx>
          <c:spPr>
            <a:ln>
              <a:solidFill>
                <a:schemeClr val="accent1"/>
              </a:solidFill>
            </a:ln>
          </c:spPr>
          <c:marker>
            <c:symbol val="none"/>
          </c:marker>
          <c:cat>
            <c:numRef>
              <c:f>T.stomaco!$L$4:$L$12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T.stomaco!$M$4:$M$12</c:f>
              <c:numCache>
                <c:formatCode>0.00</c:formatCode>
                <c:ptCount val="9"/>
                <c:pt idx="0">
                  <c:v>1.3093286274512956</c:v>
                </c:pt>
                <c:pt idx="1">
                  <c:v>1.3076285983339606</c:v>
                </c:pt>
                <c:pt idx="2">
                  <c:v>1.1927585994185412</c:v>
                </c:pt>
                <c:pt idx="3">
                  <c:v>1.1999925398706364</c:v>
                </c:pt>
                <c:pt idx="4">
                  <c:v>1.7792351220825176</c:v>
                </c:pt>
                <c:pt idx="5">
                  <c:v>1.254510143238893</c:v>
                </c:pt>
                <c:pt idx="6">
                  <c:v>1.2228020651517175</c:v>
                </c:pt>
                <c:pt idx="7">
                  <c:v>1.1567170935468738</c:v>
                </c:pt>
                <c:pt idx="8">
                  <c:v>1.1795331336069244</c:v>
                </c:pt>
              </c:numCache>
            </c:numRef>
          </c:val>
          <c:smooth val="0"/>
        </c:ser>
        <c:ser>
          <c:idx val="1"/>
          <c:order val="1"/>
          <c:tx>
            <c:strRef>
              <c:f>T.stomaco!$N$3</c:f>
              <c:strCache>
                <c:ptCount val="1"/>
                <c:pt idx="0">
                  <c:v>Lombardia</c:v>
                </c:pt>
              </c:strCache>
            </c:strRef>
          </c:tx>
          <c:marker>
            <c:symbol val="none"/>
          </c:marker>
          <c:cat>
            <c:numRef>
              <c:f>T.stomaco!$L$4:$L$12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T.stomaco!$N$4:$N$12</c:f>
              <c:numCache>
                <c:formatCode>General</c:formatCode>
                <c:ptCount val="9"/>
                <c:pt idx="0">
                  <c:v>1.32</c:v>
                </c:pt>
                <c:pt idx="1">
                  <c:v>1.25</c:v>
                </c:pt>
                <c:pt idx="2">
                  <c:v>1.18</c:v>
                </c:pt>
                <c:pt idx="3">
                  <c:v>1.19</c:v>
                </c:pt>
                <c:pt idx="4">
                  <c:v>1.1499999999999999</c:v>
                </c:pt>
                <c:pt idx="5">
                  <c:v>1.1200000000000001</c:v>
                </c:pt>
                <c:pt idx="6">
                  <c:v>1.08</c:v>
                </c:pt>
                <c:pt idx="7">
                  <c:v>0.97</c:v>
                </c:pt>
              </c:numCache>
            </c:numRef>
          </c:val>
          <c:smooth val="0"/>
        </c:ser>
        <c:ser>
          <c:idx val="2"/>
          <c:order val="2"/>
          <c:tx>
            <c:strRef>
              <c:f>T.stomaco!$O$3</c:f>
              <c:strCache>
                <c:ptCount val="1"/>
                <c:pt idx="0">
                  <c:v>Italia</c:v>
                </c:pt>
              </c:strCache>
            </c:strRef>
          </c:tx>
          <c:marker>
            <c:symbol val="none"/>
          </c:marker>
          <c:cat>
            <c:numRef>
              <c:f>T.stomaco!$L$4:$L$12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T.stomaco!$O$4:$O$12</c:f>
              <c:numCache>
                <c:formatCode>General</c:formatCode>
                <c:ptCount val="9"/>
                <c:pt idx="0">
                  <c:v>1.1299999999999999</c:v>
                </c:pt>
                <c:pt idx="1">
                  <c:v>1.06</c:v>
                </c:pt>
                <c:pt idx="2">
                  <c:v>1.06</c:v>
                </c:pt>
                <c:pt idx="3">
                  <c:v>1.02</c:v>
                </c:pt>
                <c:pt idx="4">
                  <c:v>1.01</c:v>
                </c:pt>
                <c:pt idx="5">
                  <c:v>0.99</c:v>
                </c:pt>
                <c:pt idx="6">
                  <c:v>0.93</c:v>
                </c:pt>
                <c:pt idx="7">
                  <c:v>0.87</c:v>
                </c:pt>
              </c:numCache>
            </c:numRef>
          </c:val>
          <c:smooth val="0"/>
        </c:ser>
        <c:dLbls>
          <c:showLegendKey val="0"/>
          <c:showVal val="0"/>
          <c:showCatName val="0"/>
          <c:showSerName val="0"/>
          <c:showPercent val="0"/>
          <c:showBubbleSize val="0"/>
        </c:dLbls>
        <c:marker val="1"/>
        <c:smooth val="0"/>
        <c:axId val="109816064"/>
        <c:axId val="109834240"/>
      </c:lineChart>
      <c:catAx>
        <c:axId val="109816064"/>
        <c:scaling>
          <c:orientation val="minMax"/>
        </c:scaling>
        <c:delete val="0"/>
        <c:axPos val="b"/>
        <c:numFmt formatCode="General" sourceLinked="1"/>
        <c:majorTickMark val="none"/>
        <c:minorTickMark val="none"/>
        <c:tickLblPos val="nextTo"/>
        <c:crossAx val="109834240"/>
        <c:crosses val="autoZero"/>
        <c:auto val="1"/>
        <c:lblAlgn val="ctr"/>
        <c:lblOffset val="100"/>
        <c:noMultiLvlLbl val="0"/>
      </c:catAx>
      <c:valAx>
        <c:axId val="109834240"/>
        <c:scaling>
          <c:orientation val="minMax"/>
          <c:max val="4"/>
          <c:min val="0"/>
        </c:scaling>
        <c:delete val="0"/>
        <c:axPos val="l"/>
        <c:majorGridlines/>
        <c:numFmt formatCode="0.0" sourceLinked="0"/>
        <c:majorTickMark val="none"/>
        <c:minorTickMark val="none"/>
        <c:tickLblPos val="nextTo"/>
        <c:spPr>
          <a:ln w="9525">
            <a:noFill/>
          </a:ln>
        </c:spPr>
        <c:crossAx val="109816064"/>
        <c:crosses val="autoZero"/>
        <c:crossBetween val="between"/>
        <c:majorUnit val="1"/>
      </c:valAx>
      <c:spPr>
        <a:ln>
          <a:solidFill>
            <a:schemeClr val="bg1">
              <a:lumMod val="50000"/>
            </a:schemeClr>
          </a:solidFill>
        </a:ln>
      </c:spPr>
    </c:plotArea>
    <c:legend>
      <c:legendPos val="b"/>
      <c:overlay val="0"/>
    </c:legend>
    <c:plotVisOnly val="1"/>
    <c:dispBlanksAs val="gap"/>
    <c:showDLblsOverMax val="0"/>
  </c:chart>
  <c:txPr>
    <a:bodyPr/>
    <a:lstStyle/>
    <a:p>
      <a:pPr>
        <a:defRPr sz="900"/>
      </a:pPr>
      <a:endParaRPr lang="it-IT"/>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Mortalità T. polmone -M</a:t>
            </a:r>
          </a:p>
        </c:rich>
      </c:tx>
      <c:overlay val="0"/>
    </c:title>
    <c:autoTitleDeleted val="0"/>
    <c:plotArea>
      <c:layout/>
      <c:lineChart>
        <c:grouping val="standard"/>
        <c:varyColors val="0"/>
        <c:ser>
          <c:idx val="0"/>
          <c:order val="0"/>
          <c:tx>
            <c:strRef>
              <c:f>T.polmone!$B$3</c:f>
              <c:strCache>
                <c:ptCount val="1"/>
                <c:pt idx="0">
                  <c:v>ATS</c:v>
                </c:pt>
              </c:strCache>
            </c:strRef>
          </c:tx>
          <c:spPr>
            <a:ln>
              <a:solidFill>
                <a:schemeClr val="accent1"/>
              </a:solidFill>
            </a:ln>
          </c:spPr>
          <c:marker>
            <c:symbol val="none"/>
          </c:marker>
          <c:cat>
            <c:numRef>
              <c:f>T.polmone!$A$4:$A$12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T.polmone!$B$4:$B$12</c:f>
              <c:numCache>
                <c:formatCode>0.00</c:formatCode>
                <c:ptCount val="9"/>
                <c:pt idx="0">
                  <c:v>10.706618672321456</c:v>
                </c:pt>
                <c:pt idx="1">
                  <c:v>10.604536536342591</c:v>
                </c:pt>
                <c:pt idx="2">
                  <c:v>10.259614840033297</c:v>
                </c:pt>
                <c:pt idx="3">
                  <c:v>10.110703568116891</c:v>
                </c:pt>
                <c:pt idx="4">
                  <c:v>10.329600276346707</c:v>
                </c:pt>
                <c:pt idx="5">
                  <c:v>9.4730782318977909</c:v>
                </c:pt>
                <c:pt idx="6">
                  <c:v>9.0034623513932868</c:v>
                </c:pt>
                <c:pt idx="7">
                  <c:v>8.4125511268100421</c:v>
                </c:pt>
                <c:pt idx="8">
                  <c:v>7.8532320161734122</c:v>
                </c:pt>
              </c:numCache>
            </c:numRef>
          </c:val>
          <c:smooth val="0"/>
        </c:ser>
        <c:ser>
          <c:idx val="1"/>
          <c:order val="1"/>
          <c:tx>
            <c:strRef>
              <c:f>T.polmone!$C$3</c:f>
              <c:strCache>
                <c:ptCount val="1"/>
                <c:pt idx="0">
                  <c:v>Lombardia</c:v>
                </c:pt>
              </c:strCache>
            </c:strRef>
          </c:tx>
          <c:marker>
            <c:symbol val="none"/>
          </c:marker>
          <c:cat>
            <c:numRef>
              <c:f>T.polmone!$A$4:$A$12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T.polmone!$C$4:$C$12</c:f>
              <c:numCache>
                <c:formatCode>General</c:formatCode>
                <c:ptCount val="9"/>
                <c:pt idx="0">
                  <c:v>10.47</c:v>
                </c:pt>
                <c:pt idx="1">
                  <c:v>10.36</c:v>
                </c:pt>
                <c:pt idx="2">
                  <c:v>10.130000000000001</c:v>
                </c:pt>
                <c:pt idx="3">
                  <c:v>9.73</c:v>
                </c:pt>
                <c:pt idx="4">
                  <c:v>9.32</c:v>
                </c:pt>
                <c:pt idx="5">
                  <c:v>9.16</c:v>
                </c:pt>
                <c:pt idx="6">
                  <c:v>8.74</c:v>
                </c:pt>
                <c:pt idx="7">
                  <c:v>8.09</c:v>
                </c:pt>
              </c:numCache>
            </c:numRef>
          </c:val>
          <c:smooth val="0"/>
        </c:ser>
        <c:ser>
          <c:idx val="2"/>
          <c:order val="2"/>
          <c:tx>
            <c:strRef>
              <c:f>T.polmone!$D$3</c:f>
              <c:strCache>
                <c:ptCount val="1"/>
                <c:pt idx="0">
                  <c:v>Italia</c:v>
                </c:pt>
              </c:strCache>
            </c:strRef>
          </c:tx>
          <c:marker>
            <c:symbol val="none"/>
          </c:marker>
          <c:cat>
            <c:numRef>
              <c:f>T.polmone!$A$4:$A$12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T.polmone!$D$4:$D$12</c:f>
              <c:numCache>
                <c:formatCode>General</c:formatCode>
                <c:ptCount val="9"/>
                <c:pt idx="0">
                  <c:v>9.41</c:v>
                </c:pt>
                <c:pt idx="1">
                  <c:v>9.2200000000000006</c:v>
                </c:pt>
                <c:pt idx="2">
                  <c:v>9.0399999999999991</c:v>
                </c:pt>
                <c:pt idx="3">
                  <c:v>8.89</c:v>
                </c:pt>
                <c:pt idx="4">
                  <c:v>8.74</c:v>
                </c:pt>
                <c:pt idx="5">
                  <c:v>8.51</c:v>
                </c:pt>
                <c:pt idx="6">
                  <c:v>8.2100000000000009</c:v>
                </c:pt>
                <c:pt idx="7">
                  <c:v>7.85</c:v>
                </c:pt>
              </c:numCache>
            </c:numRef>
          </c:val>
          <c:smooth val="0"/>
        </c:ser>
        <c:dLbls>
          <c:showLegendKey val="0"/>
          <c:showVal val="0"/>
          <c:showCatName val="0"/>
          <c:showSerName val="0"/>
          <c:showPercent val="0"/>
          <c:showBubbleSize val="0"/>
        </c:dLbls>
        <c:marker val="1"/>
        <c:smooth val="0"/>
        <c:axId val="110200320"/>
        <c:axId val="110201856"/>
      </c:lineChart>
      <c:catAx>
        <c:axId val="110200320"/>
        <c:scaling>
          <c:orientation val="minMax"/>
        </c:scaling>
        <c:delete val="0"/>
        <c:axPos val="b"/>
        <c:numFmt formatCode="General" sourceLinked="1"/>
        <c:majorTickMark val="none"/>
        <c:minorTickMark val="none"/>
        <c:tickLblPos val="nextTo"/>
        <c:txPr>
          <a:bodyPr/>
          <a:lstStyle/>
          <a:p>
            <a:pPr>
              <a:defRPr sz="900"/>
            </a:pPr>
            <a:endParaRPr lang="it-IT"/>
          </a:p>
        </c:txPr>
        <c:crossAx val="110201856"/>
        <c:crosses val="autoZero"/>
        <c:auto val="1"/>
        <c:lblAlgn val="ctr"/>
        <c:lblOffset val="100"/>
        <c:noMultiLvlLbl val="0"/>
      </c:catAx>
      <c:valAx>
        <c:axId val="110201856"/>
        <c:scaling>
          <c:orientation val="minMax"/>
        </c:scaling>
        <c:delete val="0"/>
        <c:axPos val="l"/>
        <c:majorGridlines/>
        <c:numFmt formatCode="0" sourceLinked="0"/>
        <c:majorTickMark val="none"/>
        <c:minorTickMark val="none"/>
        <c:tickLblPos val="nextTo"/>
        <c:spPr>
          <a:ln w="9525">
            <a:noFill/>
          </a:ln>
        </c:spPr>
        <c:txPr>
          <a:bodyPr/>
          <a:lstStyle/>
          <a:p>
            <a:pPr>
              <a:defRPr sz="900"/>
            </a:pPr>
            <a:endParaRPr lang="it-IT"/>
          </a:p>
        </c:txPr>
        <c:crossAx val="110200320"/>
        <c:crosses val="autoZero"/>
        <c:crossBetween val="between"/>
      </c:valAx>
      <c:spPr>
        <a:ln>
          <a:solidFill>
            <a:schemeClr val="bg1">
              <a:lumMod val="50000"/>
            </a:schemeClr>
          </a:solidFill>
        </a:ln>
      </c:spPr>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Incidenza T. Colon-Retto</a:t>
            </a:r>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Word]Incidenza Tumori'!$K$405</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Word]Incidenza Tumori'!$J$406:$J$408</c:f>
              <c:strCache>
                <c:ptCount val="3"/>
                <c:pt idx="0">
                  <c:v>MANTOVA</c:v>
                </c:pt>
                <c:pt idx="1">
                  <c:v>CREMONA</c:v>
                </c:pt>
                <c:pt idx="2">
                  <c:v>CREMA</c:v>
                </c:pt>
              </c:strCache>
            </c:strRef>
          </c:cat>
          <c:val>
            <c:numRef>
              <c:f>'[Grafico in Microsoft Word]Incidenza Tumori'!$K$406:$K$408</c:f>
              <c:numCache>
                <c:formatCode>0.0</c:formatCode>
                <c:ptCount val="3"/>
                <c:pt idx="0">
                  <c:v>71.11</c:v>
                </c:pt>
                <c:pt idx="1">
                  <c:v>65.08</c:v>
                </c:pt>
                <c:pt idx="2">
                  <c:v>54.02</c:v>
                </c:pt>
              </c:numCache>
            </c:numRef>
          </c:val>
        </c:ser>
        <c:ser>
          <c:idx val="1"/>
          <c:order val="1"/>
          <c:tx>
            <c:strRef>
              <c:f>'[Grafico in Microsoft Word]Incidenza Tumori'!$L$405</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Word]Incidenza Tumori'!$J$406:$J$408</c:f>
              <c:strCache>
                <c:ptCount val="3"/>
                <c:pt idx="0">
                  <c:v>MANTOVA</c:v>
                </c:pt>
                <c:pt idx="1">
                  <c:v>CREMONA</c:v>
                </c:pt>
                <c:pt idx="2">
                  <c:v>CREMA</c:v>
                </c:pt>
              </c:strCache>
            </c:strRef>
          </c:cat>
          <c:val>
            <c:numRef>
              <c:f>'[Grafico in Microsoft Word]Incidenza Tumori'!$L$406:$L$408</c:f>
              <c:numCache>
                <c:formatCode>0.0</c:formatCode>
                <c:ptCount val="3"/>
                <c:pt idx="0">
                  <c:v>122.87</c:v>
                </c:pt>
                <c:pt idx="1">
                  <c:v>118.28</c:v>
                </c:pt>
                <c:pt idx="2">
                  <c:v>108.87</c:v>
                </c:pt>
              </c:numCache>
            </c:numRef>
          </c:val>
        </c:ser>
        <c:dLbls>
          <c:showLegendKey val="0"/>
          <c:showVal val="0"/>
          <c:showCatName val="0"/>
          <c:showSerName val="0"/>
          <c:showPercent val="0"/>
          <c:showBubbleSize val="0"/>
        </c:dLbls>
        <c:gapWidth val="150"/>
        <c:shape val="box"/>
        <c:axId val="81899904"/>
        <c:axId val="81901440"/>
        <c:axId val="0"/>
      </c:bar3DChart>
      <c:catAx>
        <c:axId val="81899904"/>
        <c:scaling>
          <c:orientation val="minMax"/>
        </c:scaling>
        <c:delete val="0"/>
        <c:axPos val="l"/>
        <c:majorTickMark val="none"/>
        <c:minorTickMark val="none"/>
        <c:tickLblPos val="nextTo"/>
        <c:txPr>
          <a:bodyPr/>
          <a:lstStyle/>
          <a:p>
            <a:pPr>
              <a:defRPr sz="800" b="1"/>
            </a:pPr>
            <a:endParaRPr lang="it-IT"/>
          </a:p>
        </c:txPr>
        <c:crossAx val="81901440"/>
        <c:crosses val="autoZero"/>
        <c:auto val="1"/>
        <c:lblAlgn val="ctr"/>
        <c:lblOffset val="100"/>
        <c:noMultiLvlLbl val="0"/>
      </c:catAx>
      <c:valAx>
        <c:axId val="8190144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81899904"/>
        <c:crosses val="autoZero"/>
        <c:crossBetween val="between"/>
      </c:valAx>
    </c:plotArea>
    <c:plotVisOnly val="1"/>
    <c:dispBlanksAs val="gap"/>
    <c:showDLblsOverMax val="0"/>
  </c:chart>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b="1" i="0" u="none" strike="noStrike" baseline="0">
                <a:effectLst/>
              </a:rPr>
              <a:t>Mortalità T. polmone -</a:t>
            </a:r>
            <a:r>
              <a:rPr lang="en-US" sz="1200"/>
              <a:t>F</a:t>
            </a:r>
          </a:p>
        </c:rich>
      </c:tx>
      <c:overlay val="0"/>
    </c:title>
    <c:autoTitleDeleted val="0"/>
    <c:plotArea>
      <c:layout/>
      <c:lineChart>
        <c:grouping val="standard"/>
        <c:varyColors val="0"/>
        <c:ser>
          <c:idx val="0"/>
          <c:order val="0"/>
          <c:tx>
            <c:strRef>
              <c:f>T.polmone!$B$3</c:f>
              <c:strCache>
                <c:ptCount val="1"/>
                <c:pt idx="0">
                  <c:v>ATS</c:v>
                </c:pt>
              </c:strCache>
            </c:strRef>
          </c:tx>
          <c:spPr>
            <a:ln>
              <a:solidFill>
                <a:schemeClr val="accent1"/>
              </a:solidFill>
            </a:ln>
          </c:spPr>
          <c:marker>
            <c:symbol val="none"/>
          </c:marker>
          <c:cat>
            <c:numRef>
              <c:f>T.polmone!$A$4:$A$12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T.polmone!$M$4:$M$12</c:f>
              <c:numCache>
                <c:formatCode>0.00</c:formatCode>
                <c:ptCount val="9"/>
                <c:pt idx="0">
                  <c:v>2.4481583057112735</c:v>
                </c:pt>
                <c:pt idx="1">
                  <c:v>2.4324007858231518</c:v>
                </c:pt>
                <c:pt idx="2">
                  <c:v>2.3395703481354961</c:v>
                </c:pt>
                <c:pt idx="3">
                  <c:v>2.7560924891617167</c:v>
                </c:pt>
                <c:pt idx="4">
                  <c:v>2.3266337453460455</c:v>
                </c:pt>
                <c:pt idx="5">
                  <c:v>2.4657244423132774</c:v>
                </c:pt>
                <c:pt idx="6">
                  <c:v>2.1330723295862342</c:v>
                </c:pt>
                <c:pt idx="7">
                  <c:v>2.4869922433897318</c:v>
                </c:pt>
                <c:pt idx="8">
                  <c:v>2.4298978238568201</c:v>
                </c:pt>
              </c:numCache>
            </c:numRef>
          </c:val>
          <c:smooth val="0"/>
        </c:ser>
        <c:ser>
          <c:idx val="1"/>
          <c:order val="1"/>
          <c:tx>
            <c:strRef>
              <c:f>T.polmone!$C$3</c:f>
              <c:strCache>
                <c:ptCount val="1"/>
                <c:pt idx="0">
                  <c:v>Lombardia</c:v>
                </c:pt>
              </c:strCache>
            </c:strRef>
          </c:tx>
          <c:marker>
            <c:symbol val="none"/>
          </c:marker>
          <c:cat>
            <c:numRef>
              <c:f>T.polmone!$A$4:$A$12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T.polmone!$N$4:$N$12</c:f>
              <c:numCache>
                <c:formatCode>General</c:formatCode>
                <c:ptCount val="9"/>
                <c:pt idx="0">
                  <c:v>2.44</c:v>
                </c:pt>
                <c:pt idx="1">
                  <c:v>2.2400000000000002</c:v>
                </c:pt>
                <c:pt idx="2">
                  <c:v>2.5299999999999998</c:v>
                </c:pt>
                <c:pt idx="3">
                  <c:v>2.4900000000000002</c:v>
                </c:pt>
                <c:pt idx="4">
                  <c:v>2.42</c:v>
                </c:pt>
                <c:pt idx="5">
                  <c:v>2.58</c:v>
                </c:pt>
                <c:pt idx="6">
                  <c:v>2.59</c:v>
                </c:pt>
                <c:pt idx="7">
                  <c:v>2.63</c:v>
                </c:pt>
              </c:numCache>
            </c:numRef>
          </c:val>
          <c:smooth val="0"/>
        </c:ser>
        <c:ser>
          <c:idx val="2"/>
          <c:order val="2"/>
          <c:tx>
            <c:strRef>
              <c:f>T.polmone!$O$3</c:f>
              <c:strCache>
                <c:ptCount val="1"/>
                <c:pt idx="0">
                  <c:v>Italia</c:v>
                </c:pt>
              </c:strCache>
            </c:strRef>
          </c:tx>
          <c:marker>
            <c:symbol val="none"/>
          </c:marker>
          <c:cat>
            <c:numRef>
              <c:f>T.polmone!$A$4:$A$12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T.polmone!$O$4:$O$12</c:f>
              <c:numCache>
                <c:formatCode>General</c:formatCode>
                <c:ptCount val="9"/>
                <c:pt idx="0">
                  <c:v>2.0499999999999998</c:v>
                </c:pt>
                <c:pt idx="1">
                  <c:v>2.0699999999999998</c:v>
                </c:pt>
                <c:pt idx="2">
                  <c:v>2.13</c:v>
                </c:pt>
                <c:pt idx="3">
                  <c:v>2.16</c:v>
                </c:pt>
                <c:pt idx="4">
                  <c:v>2.2400000000000002</c:v>
                </c:pt>
                <c:pt idx="5">
                  <c:v>2.2400000000000002</c:v>
                </c:pt>
                <c:pt idx="6">
                  <c:v>2.2599999999999998</c:v>
                </c:pt>
                <c:pt idx="7">
                  <c:v>2.2999999999999998</c:v>
                </c:pt>
              </c:numCache>
            </c:numRef>
          </c:val>
          <c:smooth val="0"/>
        </c:ser>
        <c:dLbls>
          <c:showLegendKey val="0"/>
          <c:showVal val="0"/>
          <c:showCatName val="0"/>
          <c:showSerName val="0"/>
          <c:showPercent val="0"/>
          <c:showBubbleSize val="0"/>
        </c:dLbls>
        <c:marker val="1"/>
        <c:smooth val="0"/>
        <c:axId val="110224128"/>
        <c:axId val="110225664"/>
      </c:lineChart>
      <c:catAx>
        <c:axId val="110224128"/>
        <c:scaling>
          <c:orientation val="minMax"/>
        </c:scaling>
        <c:delete val="0"/>
        <c:axPos val="b"/>
        <c:numFmt formatCode="General" sourceLinked="1"/>
        <c:majorTickMark val="none"/>
        <c:minorTickMark val="none"/>
        <c:tickLblPos val="nextTo"/>
        <c:txPr>
          <a:bodyPr/>
          <a:lstStyle/>
          <a:p>
            <a:pPr>
              <a:defRPr sz="900"/>
            </a:pPr>
            <a:endParaRPr lang="it-IT"/>
          </a:p>
        </c:txPr>
        <c:crossAx val="110225664"/>
        <c:crosses val="autoZero"/>
        <c:auto val="1"/>
        <c:lblAlgn val="ctr"/>
        <c:lblOffset val="100"/>
        <c:noMultiLvlLbl val="0"/>
      </c:catAx>
      <c:valAx>
        <c:axId val="110225664"/>
        <c:scaling>
          <c:orientation val="minMax"/>
          <c:max val="12"/>
        </c:scaling>
        <c:delete val="0"/>
        <c:axPos val="l"/>
        <c:majorGridlines/>
        <c:numFmt formatCode="0" sourceLinked="0"/>
        <c:majorTickMark val="none"/>
        <c:minorTickMark val="none"/>
        <c:tickLblPos val="nextTo"/>
        <c:spPr>
          <a:ln w="9525">
            <a:noFill/>
          </a:ln>
        </c:spPr>
        <c:txPr>
          <a:bodyPr/>
          <a:lstStyle/>
          <a:p>
            <a:pPr>
              <a:defRPr sz="900"/>
            </a:pPr>
            <a:endParaRPr lang="it-IT"/>
          </a:p>
        </c:txPr>
        <c:crossAx val="110224128"/>
        <c:crosses val="autoZero"/>
        <c:crossBetween val="between"/>
        <c:majorUnit val="2"/>
      </c:valAx>
      <c:spPr>
        <a:ln>
          <a:solidFill>
            <a:schemeClr val="bg1">
              <a:lumMod val="50000"/>
            </a:schemeClr>
          </a:solidFill>
        </a:ln>
      </c:spPr>
    </c:plotArea>
    <c:legend>
      <c:legendPos val="b"/>
      <c:overlay val="0"/>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Trend</a:t>
            </a:r>
            <a:r>
              <a:rPr lang="it-IT" sz="1200" baseline="0"/>
              <a:t> mortalià T. fegato</a:t>
            </a:r>
            <a:endParaRPr lang="it-IT" sz="1200"/>
          </a:p>
        </c:rich>
      </c:tx>
      <c:overlay val="0"/>
    </c:title>
    <c:autoTitleDeleted val="0"/>
    <c:plotArea>
      <c:layout/>
      <c:lineChart>
        <c:grouping val="standard"/>
        <c:varyColors val="0"/>
        <c:ser>
          <c:idx val="0"/>
          <c:order val="0"/>
          <c:tx>
            <c:strRef>
              <c:f>trend!$B$3</c:f>
              <c:strCache>
                <c:ptCount val="1"/>
                <c:pt idx="0">
                  <c:v>M</c:v>
                </c:pt>
              </c:strCache>
            </c:strRef>
          </c:tx>
          <c:spPr>
            <a:ln>
              <a:solidFill>
                <a:schemeClr val="accent1"/>
              </a:solidFill>
            </a:ln>
          </c:spPr>
          <c:marker>
            <c:symbol val="none"/>
          </c:marker>
          <c:cat>
            <c:numRef>
              <c:f>trend!$A$4:$A$12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trend!$B$4:$B$12</c:f>
              <c:numCache>
                <c:formatCode>0.00</c:formatCode>
                <c:ptCount val="9"/>
                <c:pt idx="0">
                  <c:v>3.3283106873930621</c:v>
                </c:pt>
                <c:pt idx="1">
                  <c:v>2.797806312808556</c:v>
                </c:pt>
                <c:pt idx="2">
                  <c:v>3.5373077190808542</c:v>
                </c:pt>
                <c:pt idx="3">
                  <c:v>3.2609127936041795</c:v>
                </c:pt>
                <c:pt idx="4">
                  <c:v>2.9420935586645309</c:v>
                </c:pt>
                <c:pt idx="5">
                  <c:v>3.6468495374323071</c:v>
                </c:pt>
                <c:pt idx="6">
                  <c:v>2.2124458592805638</c:v>
                </c:pt>
                <c:pt idx="7">
                  <c:v>2.6255727433769573</c:v>
                </c:pt>
                <c:pt idx="8">
                  <c:v>2.3321259623707871</c:v>
                </c:pt>
              </c:numCache>
            </c:numRef>
          </c:val>
          <c:smooth val="0"/>
        </c:ser>
        <c:ser>
          <c:idx val="1"/>
          <c:order val="1"/>
          <c:tx>
            <c:strRef>
              <c:f>trend!$C$3</c:f>
              <c:strCache>
                <c:ptCount val="1"/>
                <c:pt idx="0">
                  <c:v>F</c:v>
                </c:pt>
              </c:strCache>
            </c:strRef>
          </c:tx>
          <c:spPr>
            <a:ln>
              <a:solidFill>
                <a:srgbClr val="D53795"/>
              </a:solidFill>
            </a:ln>
          </c:spPr>
          <c:marker>
            <c:symbol val="none"/>
          </c:marker>
          <c:cat>
            <c:numRef>
              <c:f>trend!$A$4:$A$12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trend!$C$4:$C$12</c:f>
              <c:numCache>
                <c:formatCode>0.00</c:formatCode>
                <c:ptCount val="9"/>
                <c:pt idx="0">
                  <c:v>0.82651544737408655</c:v>
                </c:pt>
                <c:pt idx="1">
                  <c:v>1.2597545471316132</c:v>
                </c:pt>
                <c:pt idx="2">
                  <c:v>0.95466663848510547</c:v>
                </c:pt>
                <c:pt idx="3">
                  <c:v>1.0027755908999041</c:v>
                </c:pt>
                <c:pt idx="4">
                  <c:v>0.88516422165656194</c:v>
                </c:pt>
                <c:pt idx="5">
                  <c:v>0.92606627847398981</c:v>
                </c:pt>
                <c:pt idx="6">
                  <c:v>0.94560407201265628</c:v>
                </c:pt>
                <c:pt idx="7">
                  <c:v>0.92580140753266149</c:v>
                </c:pt>
                <c:pt idx="8">
                  <c:v>0.92551601964298691</c:v>
                </c:pt>
              </c:numCache>
            </c:numRef>
          </c:val>
          <c:smooth val="0"/>
        </c:ser>
        <c:dLbls>
          <c:showLegendKey val="0"/>
          <c:showVal val="0"/>
          <c:showCatName val="0"/>
          <c:showSerName val="0"/>
          <c:showPercent val="0"/>
          <c:showBubbleSize val="0"/>
        </c:dLbls>
        <c:marker val="1"/>
        <c:smooth val="0"/>
        <c:axId val="110234624"/>
        <c:axId val="110260992"/>
      </c:lineChart>
      <c:catAx>
        <c:axId val="110234624"/>
        <c:scaling>
          <c:orientation val="minMax"/>
        </c:scaling>
        <c:delete val="0"/>
        <c:axPos val="b"/>
        <c:numFmt formatCode="General" sourceLinked="1"/>
        <c:majorTickMark val="none"/>
        <c:minorTickMark val="none"/>
        <c:tickLblPos val="nextTo"/>
        <c:crossAx val="110260992"/>
        <c:crosses val="autoZero"/>
        <c:auto val="1"/>
        <c:lblAlgn val="ctr"/>
        <c:lblOffset val="100"/>
        <c:noMultiLvlLbl val="0"/>
      </c:catAx>
      <c:valAx>
        <c:axId val="110260992"/>
        <c:scaling>
          <c:orientation val="minMax"/>
        </c:scaling>
        <c:delete val="0"/>
        <c:axPos val="l"/>
        <c:majorGridlines/>
        <c:numFmt formatCode="0.0" sourceLinked="0"/>
        <c:majorTickMark val="none"/>
        <c:minorTickMark val="none"/>
        <c:tickLblPos val="nextTo"/>
        <c:crossAx val="110234624"/>
        <c:crosses val="autoZero"/>
        <c:crossBetween val="between"/>
      </c:valAx>
      <c:spPr>
        <a:ln>
          <a:solidFill>
            <a:schemeClr val="bg1">
              <a:lumMod val="50000"/>
            </a:schemeClr>
          </a:solidFill>
        </a:ln>
      </c:spPr>
    </c:plotArea>
    <c:legend>
      <c:legendPos val="r"/>
      <c:overlay val="0"/>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Incidenza T. colon-retto</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9598906386701662"/>
          <c:y val="0.13877333041703122"/>
          <c:w val="0.66474825021872264"/>
          <c:h val="0.7452467920676582"/>
        </c:manualLayout>
      </c:layout>
      <c:bar3DChart>
        <c:barDir val="bar"/>
        <c:grouping val="clustered"/>
        <c:varyColors val="0"/>
        <c:ser>
          <c:idx val="0"/>
          <c:order val="0"/>
          <c:tx>
            <c:strRef>
              <c:f>ColonRetto!$B$2</c:f>
              <c:strCache>
                <c:ptCount val="1"/>
                <c:pt idx="0">
                  <c:v>F</c:v>
                </c:pt>
              </c:strCache>
            </c:strRef>
          </c:tx>
          <c:spPr>
            <a:solidFill>
              <a:srgbClr val="FF66FF"/>
            </a:solidFill>
          </c:spPr>
          <c:invertIfNegative val="0"/>
          <c:dLbls>
            <c:txPr>
              <a:bodyPr/>
              <a:lstStyle/>
              <a:p>
                <a:pPr>
                  <a:defRPr b="1"/>
                </a:pPr>
                <a:endParaRPr lang="it-IT"/>
              </a:p>
            </c:txPr>
            <c:showLegendKey val="0"/>
            <c:showVal val="1"/>
            <c:showCatName val="0"/>
            <c:showSerName val="0"/>
            <c:showPercent val="0"/>
            <c:showBubbleSize val="0"/>
            <c:showLeaderLines val="0"/>
          </c:dLbls>
          <c:cat>
            <c:strRef>
              <c:f>ColonRetto!$A$3:$A$6</c:f>
              <c:strCache>
                <c:ptCount val="4"/>
                <c:pt idx="0">
                  <c:v>ITALIA</c:v>
                </c:pt>
                <c:pt idx="1">
                  <c:v>NORD OVEST</c:v>
                </c:pt>
                <c:pt idx="2">
                  <c:v>MANTOVA</c:v>
                </c:pt>
                <c:pt idx="3">
                  <c:v>CREMONA</c:v>
                </c:pt>
              </c:strCache>
            </c:strRef>
          </c:cat>
          <c:val>
            <c:numRef>
              <c:f>ColonRetto!$B$3:$B$6</c:f>
              <c:numCache>
                <c:formatCode>General</c:formatCode>
                <c:ptCount val="4"/>
                <c:pt idx="0">
                  <c:v>39.5</c:v>
                </c:pt>
                <c:pt idx="1">
                  <c:v>41.8</c:v>
                </c:pt>
                <c:pt idx="2">
                  <c:v>43.9</c:v>
                </c:pt>
                <c:pt idx="3">
                  <c:v>39.9</c:v>
                </c:pt>
              </c:numCache>
            </c:numRef>
          </c:val>
        </c:ser>
        <c:ser>
          <c:idx val="1"/>
          <c:order val="1"/>
          <c:tx>
            <c:strRef>
              <c:f>ColonRetto!$C$2</c:f>
              <c:strCache>
                <c:ptCount val="1"/>
                <c:pt idx="0">
                  <c:v>M</c:v>
                </c:pt>
              </c:strCache>
            </c:strRef>
          </c:tx>
          <c:spPr>
            <a:solidFill>
              <a:srgbClr val="0066FF"/>
            </a:solidFill>
          </c:spPr>
          <c:invertIfNegative val="0"/>
          <c:dLbls>
            <c:txPr>
              <a:bodyPr/>
              <a:lstStyle/>
              <a:p>
                <a:pPr>
                  <a:defRPr b="1"/>
                </a:pPr>
                <a:endParaRPr lang="it-IT"/>
              </a:p>
            </c:txPr>
            <c:showLegendKey val="0"/>
            <c:showVal val="1"/>
            <c:showCatName val="0"/>
            <c:showSerName val="0"/>
            <c:showPercent val="0"/>
            <c:showBubbleSize val="0"/>
            <c:showLeaderLines val="0"/>
          </c:dLbls>
          <c:cat>
            <c:strRef>
              <c:f>ColonRetto!$A$3:$A$6</c:f>
              <c:strCache>
                <c:ptCount val="4"/>
                <c:pt idx="0">
                  <c:v>ITALIA</c:v>
                </c:pt>
                <c:pt idx="1">
                  <c:v>NORD OVEST</c:v>
                </c:pt>
                <c:pt idx="2">
                  <c:v>MANTOVA</c:v>
                </c:pt>
                <c:pt idx="3">
                  <c:v>CREMONA</c:v>
                </c:pt>
              </c:strCache>
            </c:strRef>
          </c:cat>
          <c:val>
            <c:numRef>
              <c:f>ColonRetto!$C$3:$C$6</c:f>
              <c:numCache>
                <c:formatCode>General</c:formatCode>
                <c:ptCount val="4"/>
                <c:pt idx="0">
                  <c:v>64</c:v>
                </c:pt>
                <c:pt idx="1">
                  <c:v>70.2</c:v>
                </c:pt>
                <c:pt idx="2">
                  <c:v>74.8</c:v>
                </c:pt>
                <c:pt idx="3">
                  <c:v>65.7</c:v>
                </c:pt>
              </c:numCache>
            </c:numRef>
          </c:val>
        </c:ser>
        <c:dLbls>
          <c:showLegendKey val="0"/>
          <c:showVal val="0"/>
          <c:showCatName val="0"/>
          <c:showSerName val="0"/>
          <c:showPercent val="0"/>
          <c:showBubbleSize val="0"/>
        </c:dLbls>
        <c:gapWidth val="150"/>
        <c:shape val="box"/>
        <c:axId val="110283776"/>
        <c:axId val="110285568"/>
        <c:axId val="0"/>
      </c:bar3DChart>
      <c:catAx>
        <c:axId val="110283776"/>
        <c:scaling>
          <c:orientation val="minMax"/>
        </c:scaling>
        <c:delete val="0"/>
        <c:axPos val="l"/>
        <c:majorTickMark val="none"/>
        <c:minorTickMark val="none"/>
        <c:tickLblPos val="nextTo"/>
        <c:txPr>
          <a:bodyPr/>
          <a:lstStyle/>
          <a:p>
            <a:pPr>
              <a:defRPr sz="900" b="1"/>
            </a:pPr>
            <a:endParaRPr lang="it-IT"/>
          </a:p>
        </c:txPr>
        <c:crossAx val="110285568"/>
        <c:crosses val="autoZero"/>
        <c:auto val="1"/>
        <c:lblAlgn val="ctr"/>
        <c:lblOffset val="100"/>
        <c:noMultiLvlLbl val="0"/>
      </c:catAx>
      <c:valAx>
        <c:axId val="110285568"/>
        <c:scaling>
          <c:orientation val="minMax"/>
        </c:scaling>
        <c:delete val="0"/>
        <c:axPos val="b"/>
        <c:majorGridlines/>
        <c:numFmt formatCode="General" sourceLinked="1"/>
        <c:majorTickMark val="none"/>
        <c:minorTickMark val="none"/>
        <c:tickLblPos val="nextTo"/>
        <c:crossAx val="110283776"/>
        <c:crosses val="autoZero"/>
        <c:crossBetween val="between"/>
      </c:valAx>
    </c:plotArea>
    <c:legend>
      <c:legendPos val="r"/>
      <c:layout>
        <c:manualLayout>
          <c:xMode val="edge"/>
          <c:yMode val="edge"/>
          <c:x val="0.88604678853013197"/>
          <c:y val="0.47483181411470943"/>
          <c:w val="7.9765177281833868E-2"/>
          <c:h val="0.16743438320209975"/>
        </c:manualLayout>
      </c:layout>
      <c:overlay val="0"/>
      <c:txPr>
        <a:bodyPr/>
        <a:lstStyle/>
        <a:p>
          <a:pPr>
            <a:defRPr b="1"/>
          </a:pPr>
          <a:endParaRPr lang="it-IT"/>
        </a:p>
      </c:txPr>
    </c:legend>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Incidenza T. cervice uterina</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9598906386701662"/>
          <c:y val="0.13877333041703122"/>
          <c:w val="0.66474825021872264"/>
          <c:h val="0.7452467920676582"/>
        </c:manualLayout>
      </c:layout>
      <c:bar3DChart>
        <c:barDir val="bar"/>
        <c:grouping val="clustered"/>
        <c:varyColors val="0"/>
        <c:ser>
          <c:idx val="0"/>
          <c:order val="0"/>
          <c:tx>
            <c:strRef>
              <c:f>CerviceUterina!$B$2</c:f>
              <c:strCache>
                <c:ptCount val="1"/>
                <c:pt idx="0">
                  <c:v>FEMMINE</c:v>
                </c:pt>
              </c:strCache>
            </c:strRef>
          </c:tx>
          <c:spPr>
            <a:solidFill>
              <a:srgbClr val="FF66FF"/>
            </a:solidFill>
          </c:spPr>
          <c:invertIfNegative val="0"/>
          <c:dLbls>
            <c:txPr>
              <a:bodyPr/>
              <a:lstStyle/>
              <a:p>
                <a:pPr>
                  <a:defRPr b="1"/>
                </a:pPr>
                <a:endParaRPr lang="it-IT"/>
              </a:p>
            </c:txPr>
            <c:showLegendKey val="0"/>
            <c:showVal val="1"/>
            <c:showCatName val="0"/>
            <c:showSerName val="0"/>
            <c:showPercent val="0"/>
            <c:showBubbleSize val="0"/>
            <c:showLeaderLines val="0"/>
          </c:dLbls>
          <c:cat>
            <c:strRef>
              <c:f>CerviceUterina!$A$3:$A$6</c:f>
              <c:strCache>
                <c:ptCount val="4"/>
                <c:pt idx="0">
                  <c:v>ITALIA</c:v>
                </c:pt>
                <c:pt idx="1">
                  <c:v>NORD OVEST</c:v>
                </c:pt>
                <c:pt idx="2">
                  <c:v>MANTOVA</c:v>
                </c:pt>
                <c:pt idx="3">
                  <c:v>CREMONA</c:v>
                </c:pt>
              </c:strCache>
            </c:strRef>
          </c:cat>
          <c:val>
            <c:numRef>
              <c:f>CerviceUterina!$B$3:$B$6</c:f>
              <c:numCache>
                <c:formatCode>General</c:formatCode>
                <c:ptCount val="4"/>
                <c:pt idx="0">
                  <c:v>5.9</c:v>
                </c:pt>
                <c:pt idx="1">
                  <c:v>6.8</c:v>
                </c:pt>
                <c:pt idx="2">
                  <c:v>5.4</c:v>
                </c:pt>
                <c:pt idx="3">
                  <c:v>5.9</c:v>
                </c:pt>
              </c:numCache>
            </c:numRef>
          </c:val>
        </c:ser>
        <c:dLbls>
          <c:showLegendKey val="0"/>
          <c:showVal val="0"/>
          <c:showCatName val="0"/>
          <c:showSerName val="0"/>
          <c:showPercent val="0"/>
          <c:showBubbleSize val="0"/>
        </c:dLbls>
        <c:gapWidth val="150"/>
        <c:shape val="box"/>
        <c:axId val="110351872"/>
        <c:axId val="110353408"/>
        <c:axId val="0"/>
      </c:bar3DChart>
      <c:catAx>
        <c:axId val="110351872"/>
        <c:scaling>
          <c:orientation val="minMax"/>
        </c:scaling>
        <c:delete val="0"/>
        <c:axPos val="l"/>
        <c:majorTickMark val="none"/>
        <c:minorTickMark val="none"/>
        <c:tickLblPos val="nextTo"/>
        <c:txPr>
          <a:bodyPr/>
          <a:lstStyle/>
          <a:p>
            <a:pPr>
              <a:defRPr sz="900" b="1"/>
            </a:pPr>
            <a:endParaRPr lang="it-IT"/>
          </a:p>
        </c:txPr>
        <c:crossAx val="110353408"/>
        <c:crosses val="autoZero"/>
        <c:auto val="1"/>
        <c:lblAlgn val="ctr"/>
        <c:lblOffset val="100"/>
        <c:noMultiLvlLbl val="0"/>
      </c:catAx>
      <c:valAx>
        <c:axId val="110353408"/>
        <c:scaling>
          <c:orientation val="minMax"/>
        </c:scaling>
        <c:delete val="0"/>
        <c:axPos val="b"/>
        <c:majorGridlines/>
        <c:numFmt formatCode="General" sourceLinked="1"/>
        <c:majorTickMark val="none"/>
        <c:minorTickMark val="none"/>
        <c:tickLblPos val="nextTo"/>
        <c:crossAx val="110351872"/>
        <c:crosses val="autoZero"/>
        <c:crossBetween val="between"/>
      </c:valAx>
    </c:plotArea>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Incidenza T. mammella F</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9598906386701662"/>
          <c:y val="0.13877333041703122"/>
          <c:w val="0.66474825021872264"/>
          <c:h val="0.7452467920676582"/>
        </c:manualLayout>
      </c:layout>
      <c:bar3DChart>
        <c:barDir val="bar"/>
        <c:grouping val="clustered"/>
        <c:varyColors val="0"/>
        <c:ser>
          <c:idx val="0"/>
          <c:order val="0"/>
          <c:tx>
            <c:strRef>
              <c:f>Mammella!$B$2</c:f>
              <c:strCache>
                <c:ptCount val="1"/>
                <c:pt idx="0">
                  <c:v>FEMMINE</c:v>
                </c:pt>
              </c:strCache>
            </c:strRef>
          </c:tx>
          <c:spPr>
            <a:solidFill>
              <a:srgbClr val="FF66FF"/>
            </a:solidFill>
          </c:spPr>
          <c:invertIfNegative val="0"/>
          <c:dLbls>
            <c:txPr>
              <a:bodyPr/>
              <a:lstStyle/>
              <a:p>
                <a:pPr>
                  <a:defRPr b="1"/>
                </a:pPr>
                <a:endParaRPr lang="it-IT"/>
              </a:p>
            </c:txPr>
            <c:showLegendKey val="0"/>
            <c:showVal val="1"/>
            <c:showCatName val="0"/>
            <c:showSerName val="0"/>
            <c:showPercent val="0"/>
            <c:showBubbleSize val="0"/>
            <c:showLeaderLines val="0"/>
          </c:dLbls>
          <c:cat>
            <c:strRef>
              <c:f>Mammella!$A$3:$A$6</c:f>
              <c:strCache>
                <c:ptCount val="4"/>
                <c:pt idx="0">
                  <c:v>ITALIA</c:v>
                </c:pt>
                <c:pt idx="1">
                  <c:v>NORD OVEST</c:v>
                </c:pt>
                <c:pt idx="2">
                  <c:v>MANTOVA</c:v>
                </c:pt>
                <c:pt idx="3">
                  <c:v>CREMONA</c:v>
                </c:pt>
              </c:strCache>
            </c:strRef>
          </c:cat>
          <c:val>
            <c:numRef>
              <c:f>Mammella!$B$3:$B$6</c:f>
              <c:numCache>
                <c:formatCode>General</c:formatCode>
                <c:ptCount val="4"/>
                <c:pt idx="0">
                  <c:v>107.7</c:v>
                </c:pt>
                <c:pt idx="1">
                  <c:v>119.4</c:v>
                </c:pt>
                <c:pt idx="2">
                  <c:v>131.4</c:v>
                </c:pt>
                <c:pt idx="3">
                  <c:v>124.2</c:v>
                </c:pt>
              </c:numCache>
            </c:numRef>
          </c:val>
        </c:ser>
        <c:dLbls>
          <c:showLegendKey val="0"/>
          <c:showVal val="0"/>
          <c:showCatName val="0"/>
          <c:showSerName val="0"/>
          <c:showPercent val="0"/>
          <c:showBubbleSize val="0"/>
        </c:dLbls>
        <c:gapWidth val="150"/>
        <c:shape val="box"/>
        <c:axId val="110431616"/>
        <c:axId val="110441600"/>
        <c:axId val="0"/>
      </c:bar3DChart>
      <c:catAx>
        <c:axId val="110431616"/>
        <c:scaling>
          <c:orientation val="minMax"/>
        </c:scaling>
        <c:delete val="0"/>
        <c:axPos val="l"/>
        <c:majorTickMark val="none"/>
        <c:minorTickMark val="none"/>
        <c:tickLblPos val="nextTo"/>
        <c:txPr>
          <a:bodyPr/>
          <a:lstStyle/>
          <a:p>
            <a:pPr>
              <a:defRPr sz="900" b="1"/>
            </a:pPr>
            <a:endParaRPr lang="it-IT"/>
          </a:p>
        </c:txPr>
        <c:crossAx val="110441600"/>
        <c:crosses val="autoZero"/>
        <c:auto val="1"/>
        <c:lblAlgn val="ctr"/>
        <c:lblOffset val="100"/>
        <c:noMultiLvlLbl val="0"/>
      </c:catAx>
      <c:valAx>
        <c:axId val="110441600"/>
        <c:scaling>
          <c:orientation val="minMax"/>
        </c:scaling>
        <c:delete val="0"/>
        <c:axPos val="b"/>
        <c:majorGridlines/>
        <c:numFmt formatCode="General" sourceLinked="1"/>
        <c:majorTickMark val="none"/>
        <c:minorTickMark val="none"/>
        <c:tickLblPos val="nextTo"/>
        <c:crossAx val="110431616"/>
        <c:crosses val="autoZero"/>
        <c:crossBetween val="between"/>
      </c:valAx>
    </c:plotArea>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Incidenza T. polmone</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9598906386701662"/>
          <c:y val="0.13877333041703122"/>
          <c:w val="0.66474825021872264"/>
          <c:h val="0.7452467920676582"/>
        </c:manualLayout>
      </c:layout>
      <c:bar3DChart>
        <c:barDir val="bar"/>
        <c:grouping val="clustered"/>
        <c:varyColors val="0"/>
        <c:ser>
          <c:idx val="0"/>
          <c:order val="0"/>
          <c:tx>
            <c:strRef>
              <c:f>Polmone!$B$2</c:f>
              <c:strCache>
                <c:ptCount val="1"/>
                <c:pt idx="0">
                  <c:v>F</c:v>
                </c:pt>
              </c:strCache>
            </c:strRef>
          </c:tx>
          <c:spPr>
            <a:solidFill>
              <a:srgbClr val="FF66FF"/>
            </a:solidFill>
          </c:spPr>
          <c:invertIfNegative val="0"/>
          <c:dLbls>
            <c:showLegendKey val="0"/>
            <c:showVal val="1"/>
            <c:showCatName val="0"/>
            <c:showSerName val="0"/>
            <c:showPercent val="0"/>
            <c:showBubbleSize val="0"/>
            <c:showLeaderLines val="0"/>
          </c:dLbls>
          <c:cat>
            <c:strRef>
              <c:f>Polmone!$A$3:$A$6</c:f>
              <c:strCache>
                <c:ptCount val="4"/>
                <c:pt idx="0">
                  <c:v>ITALIA</c:v>
                </c:pt>
                <c:pt idx="1">
                  <c:v>NORD OVEST</c:v>
                </c:pt>
                <c:pt idx="2">
                  <c:v>MANTOVA</c:v>
                </c:pt>
                <c:pt idx="3">
                  <c:v>CREMONA</c:v>
                </c:pt>
              </c:strCache>
            </c:strRef>
          </c:cat>
          <c:val>
            <c:numRef>
              <c:f>Polmone!$B$3:$B$6</c:f>
              <c:numCache>
                <c:formatCode>General</c:formatCode>
                <c:ptCount val="4"/>
                <c:pt idx="0">
                  <c:v>18.3</c:v>
                </c:pt>
                <c:pt idx="1">
                  <c:v>18.5</c:v>
                </c:pt>
                <c:pt idx="2">
                  <c:v>21.3</c:v>
                </c:pt>
                <c:pt idx="3">
                  <c:v>20.9</c:v>
                </c:pt>
              </c:numCache>
            </c:numRef>
          </c:val>
        </c:ser>
        <c:ser>
          <c:idx val="1"/>
          <c:order val="1"/>
          <c:tx>
            <c:strRef>
              <c:f>Polmone!$C$2</c:f>
              <c:strCache>
                <c:ptCount val="1"/>
                <c:pt idx="0">
                  <c:v>M</c:v>
                </c:pt>
              </c:strCache>
            </c:strRef>
          </c:tx>
          <c:spPr>
            <a:solidFill>
              <a:srgbClr val="0066FF"/>
            </a:solidFill>
          </c:spPr>
          <c:invertIfNegative val="0"/>
          <c:dLbls>
            <c:showLegendKey val="0"/>
            <c:showVal val="1"/>
            <c:showCatName val="0"/>
            <c:showSerName val="0"/>
            <c:showPercent val="0"/>
            <c:showBubbleSize val="0"/>
            <c:showLeaderLines val="0"/>
          </c:dLbls>
          <c:cat>
            <c:strRef>
              <c:f>Polmone!$A$3:$A$6</c:f>
              <c:strCache>
                <c:ptCount val="4"/>
                <c:pt idx="0">
                  <c:v>ITALIA</c:v>
                </c:pt>
                <c:pt idx="1">
                  <c:v>NORD OVEST</c:v>
                </c:pt>
                <c:pt idx="2">
                  <c:v>MANTOVA</c:v>
                </c:pt>
                <c:pt idx="3">
                  <c:v>CREMONA</c:v>
                </c:pt>
              </c:strCache>
            </c:strRef>
          </c:cat>
          <c:val>
            <c:numRef>
              <c:f>Polmone!$C$3:$C$6</c:f>
              <c:numCache>
                <c:formatCode>General</c:formatCode>
                <c:ptCount val="4"/>
                <c:pt idx="0">
                  <c:v>70.400000000000006</c:v>
                </c:pt>
                <c:pt idx="1">
                  <c:v>71.7</c:v>
                </c:pt>
                <c:pt idx="2">
                  <c:v>77.3</c:v>
                </c:pt>
                <c:pt idx="3">
                  <c:v>77.400000000000006</c:v>
                </c:pt>
              </c:numCache>
            </c:numRef>
          </c:val>
        </c:ser>
        <c:dLbls>
          <c:showLegendKey val="0"/>
          <c:showVal val="0"/>
          <c:showCatName val="0"/>
          <c:showSerName val="0"/>
          <c:showPercent val="0"/>
          <c:showBubbleSize val="0"/>
        </c:dLbls>
        <c:gapWidth val="150"/>
        <c:shape val="box"/>
        <c:axId val="110496384"/>
        <c:axId val="110510464"/>
        <c:axId val="0"/>
      </c:bar3DChart>
      <c:catAx>
        <c:axId val="110496384"/>
        <c:scaling>
          <c:orientation val="minMax"/>
        </c:scaling>
        <c:delete val="0"/>
        <c:axPos val="l"/>
        <c:majorTickMark val="none"/>
        <c:minorTickMark val="none"/>
        <c:tickLblPos val="nextTo"/>
        <c:txPr>
          <a:bodyPr/>
          <a:lstStyle/>
          <a:p>
            <a:pPr>
              <a:defRPr sz="800"/>
            </a:pPr>
            <a:endParaRPr lang="it-IT"/>
          </a:p>
        </c:txPr>
        <c:crossAx val="110510464"/>
        <c:crosses val="autoZero"/>
        <c:auto val="1"/>
        <c:lblAlgn val="ctr"/>
        <c:lblOffset val="100"/>
        <c:noMultiLvlLbl val="0"/>
      </c:catAx>
      <c:valAx>
        <c:axId val="110510464"/>
        <c:scaling>
          <c:orientation val="minMax"/>
        </c:scaling>
        <c:delete val="0"/>
        <c:axPos val="b"/>
        <c:majorGridlines/>
        <c:numFmt formatCode="General" sourceLinked="1"/>
        <c:majorTickMark val="none"/>
        <c:minorTickMark val="none"/>
        <c:tickLblPos val="nextTo"/>
        <c:crossAx val="110496384"/>
        <c:crosses val="autoZero"/>
        <c:crossBetween val="between"/>
      </c:valAx>
    </c:plotArea>
    <c:legend>
      <c:legendPos val="r"/>
      <c:layout>
        <c:manualLayout>
          <c:xMode val="edge"/>
          <c:yMode val="edge"/>
          <c:x val="0.85687101620406336"/>
          <c:y val="0.44289040633406301"/>
          <c:w val="8.6608480491386156E-2"/>
          <c:h val="0.18337504492436371"/>
        </c:manualLayout>
      </c:layout>
      <c:overlay val="0"/>
    </c:legend>
    <c:plotVisOnly val="1"/>
    <c:dispBlanksAs val="gap"/>
    <c:showDLblsOverMax val="0"/>
  </c:chart>
  <c:txPr>
    <a:bodyPr/>
    <a:lstStyle/>
    <a:p>
      <a:pPr>
        <a:defRPr sz="900"/>
      </a:pPr>
      <a:endParaRPr lang="it-IT"/>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Incidenza Mesotelioma</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9598906386701662"/>
          <c:y val="0.13877333041703122"/>
          <c:w val="0.66474825021872264"/>
          <c:h val="0.7452467920676582"/>
        </c:manualLayout>
      </c:layout>
      <c:bar3DChart>
        <c:barDir val="bar"/>
        <c:grouping val="clustered"/>
        <c:varyColors val="0"/>
        <c:ser>
          <c:idx val="0"/>
          <c:order val="0"/>
          <c:tx>
            <c:strRef>
              <c:f>Mesotelioma!$B$2</c:f>
              <c:strCache>
                <c:ptCount val="1"/>
                <c:pt idx="0">
                  <c:v>F</c:v>
                </c:pt>
              </c:strCache>
            </c:strRef>
          </c:tx>
          <c:spPr>
            <a:solidFill>
              <a:srgbClr val="FF66FF"/>
            </a:solidFill>
          </c:spPr>
          <c:invertIfNegative val="0"/>
          <c:dLbls>
            <c:showLegendKey val="0"/>
            <c:showVal val="1"/>
            <c:showCatName val="0"/>
            <c:showSerName val="0"/>
            <c:showPercent val="0"/>
            <c:showBubbleSize val="0"/>
            <c:showLeaderLines val="0"/>
          </c:dLbls>
          <c:cat>
            <c:strRef>
              <c:f>Mesotelioma!$A$3:$A$6</c:f>
              <c:strCache>
                <c:ptCount val="4"/>
                <c:pt idx="0">
                  <c:v>ITALIA</c:v>
                </c:pt>
                <c:pt idx="1">
                  <c:v>NORD OVEST</c:v>
                </c:pt>
                <c:pt idx="2">
                  <c:v>MANTOVA</c:v>
                </c:pt>
                <c:pt idx="3">
                  <c:v>CREMONA</c:v>
                </c:pt>
              </c:strCache>
            </c:strRef>
          </c:cat>
          <c:val>
            <c:numRef>
              <c:f>Mesotelioma!$B$3:$B$6</c:f>
              <c:numCache>
                <c:formatCode>General</c:formatCode>
                <c:ptCount val="4"/>
                <c:pt idx="0">
                  <c:v>0.7</c:v>
                </c:pt>
                <c:pt idx="1">
                  <c:v>1.4</c:v>
                </c:pt>
                <c:pt idx="2">
                  <c:v>1.1000000000000001</c:v>
                </c:pt>
                <c:pt idx="3">
                  <c:v>0.9</c:v>
                </c:pt>
              </c:numCache>
            </c:numRef>
          </c:val>
        </c:ser>
        <c:ser>
          <c:idx val="1"/>
          <c:order val="1"/>
          <c:tx>
            <c:strRef>
              <c:f>Mesotelioma!$C$2</c:f>
              <c:strCache>
                <c:ptCount val="1"/>
                <c:pt idx="0">
                  <c:v>M</c:v>
                </c:pt>
              </c:strCache>
            </c:strRef>
          </c:tx>
          <c:spPr>
            <a:solidFill>
              <a:srgbClr val="0066FF"/>
            </a:solidFill>
          </c:spPr>
          <c:invertIfNegative val="0"/>
          <c:cat>
            <c:strRef>
              <c:f>Mesotelioma!$A$3:$A$6</c:f>
              <c:strCache>
                <c:ptCount val="4"/>
                <c:pt idx="0">
                  <c:v>ITALIA</c:v>
                </c:pt>
                <c:pt idx="1">
                  <c:v>NORD OVEST</c:v>
                </c:pt>
                <c:pt idx="2">
                  <c:v>MANTOVA</c:v>
                </c:pt>
                <c:pt idx="3">
                  <c:v>CREMONA</c:v>
                </c:pt>
              </c:strCache>
            </c:strRef>
          </c:cat>
          <c:val>
            <c:numRef>
              <c:f>Mesotelioma!$C$3:$C$6</c:f>
              <c:numCache>
                <c:formatCode>General</c:formatCode>
                <c:ptCount val="4"/>
                <c:pt idx="0">
                  <c:v>2.2000000000000002</c:v>
                </c:pt>
                <c:pt idx="1">
                  <c:v>3.7</c:v>
                </c:pt>
                <c:pt idx="2">
                  <c:v>2.8</c:v>
                </c:pt>
                <c:pt idx="3">
                  <c:v>2.8</c:v>
                </c:pt>
              </c:numCache>
            </c:numRef>
          </c:val>
        </c:ser>
        <c:dLbls>
          <c:showLegendKey val="0"/>
          <c:showVal val="0"/>
          <c:showCatName val="0"/>
          <c:showSerName val="0"/>
          <c:showPercent val="0"/>
          <c:showBubbleSize val="0"/>
        </c:dLbls>
        <c:gapWidth val="150"/>
        <c:shape val="box"/>
        <c:axId val="110598016"/>
        <c:axId val="110599552"/>
        <c:axId val="0"/>
      </c:bar3DChart>
      <c:catAx>
        <c:axId val="110598016"/>
        <c:scaling>
          <c:orientation val="minMax"/>
        </c:scaling>
        <c:delete val="0"/>
        <c:axPos val="l"/>
        <c:majorTickMark val="none"/>
        <c:minorTickMark val="none"/>
        <c:tickLblPos val="nextTo"/>
        <c:txPr>
          <a:bodyPr/>
          <a:lstStyle/>
          <a:p>
            <a:pPr>
              <a:defRPr sz="800"/>
            </a:pPr>
            <a:endParaRPr lang="it-IT"/>
          </a:p>
        </c:txPr>
        <c:crossAx val="110599552"/>
        <c:crosses val="autoZero"/>
        <c:auto val="1"/>
        <c:lblAlgn val="ctr"/>
        <c:lblOffset val="100"/>
        <c:noMultiLvlLbl val="0"/>
      </c:catAx>
      <c:valAx>
        <c:axId val="110599552"/>
        <c:scaling>
          <c:orientation val="minMax"/>
        </c:scaling>
        <c:delete val="0"/>
        <c:axPos val="b"/>
        <c:majorGridlines/>
        <c:numFmt formatCode="General" sourceLinked="1"/>
        <c:majorTickMark val="none"/>
        <c:minorTickMark val="none"/>
        <c:tickLblPos val="nextTo"/>
        <c:crossAx val="110598016"/>
        <c:crosses val="autoZero"/>
        <c:crossBetween val="between"/>
      </c:valAx>
    </c:plotArea>
    <c:legend>
      <c:legendPos val="r"/>
      <c:layout>
        <c:manualLayout>
          <c:xMode val="edge"/>
          <c:yMode val="edge"/>
          <c:x val="0.83870953630796152"/>
          <c:y val="0.47872484689413825"/>
          <c:w val="8.6617354648850717E-2"/>
          <c:h val="0.18072415646839324"/>
        </c:manualLayout>
      </c:layout>
      <c:overlay val="0"/>
    </c:legend>
    <c:plotVisOnly val="1"/>
    <c:dispBlanksAs val="gap"/>
    <c:showDLblsOverMax val="0"/>
  </c:chart>
  <c:txPr>
    <a:bodyPr/>
    <a:lstStyle/>
    <a:p>
      <a:pPr>
        <a:defRPr sz="900"/>
      </a:pPr>
      <a:endParaRPr lang="it-IT"/>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Incidenza T. stomaco</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9598906386701662"/>
          <c:y val="0.13877333041703122"/>
          <c:w val="0.66474825021872264"/>
          <c:h val="0.7452467920676582"/>
        </c:manualLayout>
      </c:layout>
      <c:bar3DChart>
        <c:barDir val="bar"/>
        <c:grouping val="clustered"/>
        <c:varyColors val="0"/>
        <c:ser>
          <c:idx val="0"/>
          <c:order val="0"/>
          <c:tx>
            <c:strRef>
              <c:f>Stomaco!$B$2</c:f>
              <c:strCache>
                <c:ptCount val="1"/>
                <c:pt idx="0">
                  <c:v>F</c:v>
                </c:pt>
              </c:strCache>
            </c:strRef>
          </c:tx>
          <c:spPr>
            <a:solidFill>
              <a:srgbClr val="FF66FF"/>
            </a:solidFill>
          </c:spPr>
          <c:invertIfNegative val="0"/>
          <c:dLbls>
            <c:showLegendKey val="0"/>
            <c:showVal val="1"/>
            <c:showCatName val="0"/>
            <c:showSerName val="0"/>
            <c:showPercent val="0"/>
            <c:showBubbleSize val="0"/>
            <c:showLeaderLines val="0"/>
          </c:dLbls>
          <c:cat>
            <c:strRef>
              <c:f>Stomaco!$A$3:$A$6</c:f>
              <c:strCache>
                <c:ptCount val="4"/>
                <c:pt idx="0">
                  <c:v>ITALIA</c:v>
                </c:pt>
                <c:pt idx="1">
                  <c:v>NORD OVEST</c:v>
                </c:pt>
                <c:pt idx="2">
                  <c:v>MANTOVA</c:v>
                </c:pt>
                <c:pt idx="3">
                  <c:v>CREMONA</c:v>
                </c:pt>
              </c:strCache>
            </c:strRef>
          </c:cat>
          <c:val>
            <c:numRef>
              <c:f>Stomaco!$B$3:$B$6</c:f>
              <c:numCache>
                <c:formatCode>General</c:formatCode>
                <c:ptCount val="4"/>
                <c:pt idx="0">
                  <c:v>10.8</c:v>
                </c:pt>
                <c:pt idx="1">
                  <c:v>9.9</c:v>
                </c:pt>
                <c:pt idx="2">
                  <c:v>11</c:v>
                </c:pt>
                <c:pt idx="3">
                  <c:v>15.3</c:v>
                </c:pt>
              </c:numCache>
            </c:numRef>
          </c:val>
        </c:ser>
        <c:ser>
          <c:idx val="1"/>
          <c:order val="1"/>
          <c:tx>
            <c:strRef>
              <c:f>Stomaco!$C$2</c:f>
              <c:strCache>
                <c:ptCount val="1"/>
                <c:pt idx="0">
                  <c:v>M</c:v>
                </c:pt>
              </c:strCache>
            </c:strRef>
          </c:tx>
          <c:spPr>
            <a:solidFill>
              <a:srgbClr val="0066FF"/>
            </a:solidFill>
          </c:spPr>
          <c:invertIfNegative val="0"/>
          <c:dLbls>
            <c:showLegendKey val="0"/>
            <c:showVal val="1"/>
            <c:showCatName val="0"/>
            <c:showSerName val="0"/>
            <c:showPercent val="0"/>
            <c:showBubbleSize val="0"/>
            <c:showLeaderLines val="0"/>
          </c:dLbls>
          <c:cat>
            <c:strRef>
              <c:f>Stomaco!$A$3:$A$6</c:f>
              <c:strCache>
                <c:ptCount val="4"/>
                <c:pt idx="0">
                  <c:v>ITALIA</c:v>
                </c:pt>
                <c:pt idx="1">
                  <c:v>NORD OVEST</c:v>
                </c:pt>
                <c:pt idx="2">
                  <c:v>MANTOVA</c:v>
                </c:pt>
                <c:pt idx="3">
                  <c:v>CREMONA</c:v>
                </c:pt>
              </c:strCache>
            </c:strRef>
          </c:cat>
          <c:val>
            <c:numRef>
              <c:f>Stomaco!$C$3:$C$6</c:f>
              <c:numCache>
                <c:formatCode>General</c:formatCode>
                <c:ptCount val="4"/>
                <c:pt idx="0">
                  <c:v>21.6</c:v>
                </c:pt>
                <c:pt idx="1">
                  <c:v>22.7</c:v>
                </c:pt>
                <c:pt idx="2">
                  <c:v>23.5</c:v>
                </c:pt>
                <c:pt idx="3">
                  <c:v>37.5</c:v>
                </c:pt>
              </c:numCache>
            </c:numRef>
          </c:val>
        </c:ser>
        <c:dLbls>
          <c:showLegendKey val="0"/>
          <c:showVal val="0"/>
          <c:showCatName val="0"/>
          <c:showSerName val="0"/>
          <c:showPercent val="0"/>
          <c:showBubbleSize val="0"/>
        </c:dLbls>
        <c:gapWidth val="150"/>
        <c:shape val="box"/>
        <c:axId val="112842240"/>
        <c:axId val="112843776"/>
        <c:axId val="0"/>
      </c:bar3DChart>
      <c:catAx>
        <c:axId val="112842240"/>
        <c:scaling>
          <c:orientation val="minMax"/>
        </c:scaling>
        <c:delete val="0"/>
        <c:axPos val="l"/>
        <c:majorTickMark val="none"/>
        <c:minorTickMark val="none"/>
        <c:tickLblPos val="nextTo"/>
        <c:txPr>
          <a:bodyPr/>
          <a:lstStyle/>
          <a:p>
            <a:pPr>
              <a:defRPr sz="800"/>
            </a:pPr>
            <a:endParaRPr lang="it-IT"/>
          </a:p>
        </c:txPr>
        <c:crossAx val="112843776"/>
        <c:crosses val="autoZero"/>
        <c:auto val="1"/>
        <c:lblAlgn val="ctr"/>
        <c:lblOffset val="100"/>
        <c:noMultiLvlLbl val="0"/>
      </c:catAx>
      <c:valAx>
        <c:axId val="112843776"/>
        <c:scaling>
          <c:orientation val="minMax"/>
        </c:scaling>
        <c:delete val="0"/>
        <c:axPos val="b"/>
        <c:majorGridlines/>
        <c:numFmt formatCode="General" sourceLinked="1"/>
        <c:majorTickMark val="none"/>
        <c:minorTickMark val="none"/>
        <c:tickLblPos val="nextTo"/>
        <c:crossAx val="112842240"/>
        <c:crosses val="autoZero"/>
        <c:crossBetween val="between"/>
      </c:valAx>
    </c:plotArea>
    <c:legend>
      <c:legendPos val="r"/>
      <c:layout>
        <c:manualLayout>
          <c:xMode val="edge"/>
          <c:yMode val="edge"/>
          <c:x val="0.86576282574851104"/>
          <c:y val="0.35583681072124052"/>
          <c:w val="7.532156425016219E-2"/>
          <c:h val="0.29889473493232699"/>
        </c:manualLayout>
      </c:layout>
      <c:overlay val="0"/>
    </c:legend>
    <c:plotVisOnly val="1"/>
    <c:dispBlanksAs val="gap"/>
    <c:showDLblsOverMax val="0"/>
  </c:chart>
  <c:txPr>
    <a:bodyPr/>
    <a:lstStyle/>
    <a:p>
      <a:pPr>
        <a:defRPr sz="900"/>
      </a:pPr>
      <a:endParaRPr lang="it-IT"/>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Incidenza T. fegato</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9598906386701662"/>
          <c:y val="0.13877333041703122"/>
          <c:w val="0.66474825021872264"/>
          <c:h val="0.7452467920676582"/>
        </c:manualLayout>
      </c:layout>
      <c:bar3DChart>
        <c:barDir val="bar"/>
        <c:grouping val="clustered"/>
        <c:varyColors val="0"/>
        <c:ser>
          <c:idx val="0"/>
          <c:order val="0"/>
          <c:tx>
            <c:strRef>
              <c:f>Fegato!$B$2</c:f>
              <c:strCache>
                <c:ptCount val="1"/>
                <c:pt idx="0">
                  <c:v>F</c:v>
                </c:pt>
              </c:strCache>
            </c:strRef>
          </c:tx>
          <c:spPr>
            <a:solidFill>
              <a:srgbClr val="FF66FF"/>
            </a:solidFill>
          </c:spPr>
          <c:invertIfNegative val="0"/>
          <c:dLbls>
            <c:showLegendKey val="0"/>
            <c:showVal val="1"/>
            <c:showCatName val="0"/>
            <c:showSerName val="0"/>
            <c:showPercent val="0"/>
            <c:showBubbleSize val="0"/>
            <c:showLeaderLines val="0"/>
          </c:dLbls>
          <c:cat>
            <c:strRef>
              <c:f>Fegato!$A$3:$A$6</c:f>
              <c:strCache>
                <c:ptCount val="4"/>
                <c:pt idx="0">
                  <c:v>ITALIA</c:v>
                </c:pt>
                <c:pt idx="1">
                  <c:v>NORD OVEST</c:v>
                </c:pt>
                <c:pt idx="2">
                  <c:v>MANTOVA</c:v>
                </c:pt>
                <c:pt idx="3">
                  <c:v>CREMONA</c:v>
                </c:pt>
              </c:strCache>
            </c:strRef>
          </c:cat>
          <c:val>
            <c:numRef>
              <c:f>Fegato!$B$3:$B$6</c:f>
              <c:numCache>
                <c:formatCode>General</c:formatCode>
                <c:ptCount val="4"/>
                <c:pt idx="0">
                  <c:v>6.7</c:v>
                </c:pt>
                <c:pt idx="1">
                  <c:v>5.3</c:v>
                </c:pt>
                <c:pt idx="2">
                  <c:v>5.5</c:v>
                </c:pt>
                <c:pt idx="3">
                  <c:v>8.5</c:v>
                </c:pt>
              </c:numCache>
            </c:numRef>
          </c:val>
        </c:ser>
        <c:ser>
          <c:idx val="1"/>
          <c:order val="1"/>
          <c:tx>
            <c:strRef>
              <c:f>Fegato!$C$2</c:f>
              <c:strCache>
                <c:ptCount val="1"/>
                <c:pt idx="0">
                  <c:v>M</c:v>
                </c:pt>
              </c:strCache>
            </c:strRef>
          </c:tx>
          <c:spPr>
            <a:solidFill>
              <a:srgbClr val="0066FF"/>
            </a:solidFill>
          </c:spPr>
          <c:invertIfNegative val="0"/>
          <c:dLbls>
            <c:showLegendKey val="0"/>
            <c:showVal val="1"/>
            <c:showCatName val="0"/>
            <c:showSerName val="0"/>
            <c:showPercent val="0"/>
            <c:showBubbleSize val="0"/>
            <c:showLeaderLines val="0"/>
          </c:dLbls>
          <c:cat>
            <c:strRef>
              <c:f>Fegato!$A$3:$A$6</c:f>
              <c:strCache>
                <c:ptCount val="4"/>
                <c:pt idx="0">
                  <c:v>ITALIA</c:v>
                </c:pt>
                <c:pt idx="1">
                  <c:v>NORD OVEST</c:v>
                </c:pt>
                <c:pt idx="2">
                  <c:v>MANTOVA</c:v>
                </c:pt>
                <c:pt idx="3">
                  <c:v>CREMONA</c:v>
                </c:pt>
              </c:strCache>
            </c:strRef>
          </c:cat>
          <c:val>
            <c:numRef>
              <c:f>Fegato!$C$3:$C$6</c:f>
              <c:numCache>
                <c:formatCode>General</c:formatCode>
                <c:ptCount val="4"/>
                <c:pt idx="0">
                  <c:v>19.399999999999999</c:v>
                </c:pt>
                <c:pt idx="1">
                  <c:v>17.5</c:v>
                </c:pt>
                <c:pt idx="2">
                  <c:v>19.899999999999999</c:v>
                </c:pt>
                <c:pt idx="3">
                  <c:v>32.200000000000003</c:v>
                </c:pt>
              </c:numCache>
            </c:numRef>
          </c:val>
        </c:ser>
        <c:dLbls>
          <c:showLegendKey val="0"/>
          <c:showVal val="0"/>
          <c:showCatName val="0"/>
          <c:showSerName val="0"/>
          <c:showPercent val="0"/>
          <c:showBubbleSize val="0"/>
        </c:dLbls>
        <c:gapWidth val="150"/>
        <c:shape val="box"/>
        <c:axId val="110687360"/>
        <c:axId val="110688896"/>
        <c:axId val="0"/>
      </c:bar3DChart>
      <c:catAx>
        <c:axId val="110687360"/>
        <c:scaling>
          <c:orientation val="minMax"/>
        </c:scaling>
        <c:delete val="0"/>
        <c:axPos val="l"/>
        <c:majorTickMark val="none"/>
        <c:minorTickMark val="none"/>
        <c:tickLblPos val="nextTo"/>
        <c:txPr>
          <a:bodyPr/>
          <a:lstStyle/>
          <a:p>
            <a:pPr>
              <a:defRPr sz="800"/>
            </a:pPr>
            <a:endParaRPr lang="it-IT"/>
          </a:p>
        </c:txPr>
        <c:crossAx val="110688896"/>
        <c:crosses val="autoZero"/>
        <c:auto val="1"/>
        <c:lblAlgn val="ctr"/>
        <c:lblOffset val="100"/>
        <c:noMultiLvlLbl val="0"/>
      </c:catAx>
      <c:valAx>
        <c:axId val="110688896"/>
        <c:scaling>
          <c:orientation val="minMax"/>
        </c:scaling>
        <c:delete val="0"/>
        <c:axPos val="b"/>
        <c:majorGridlines/>
        <c:numFmt formatCode="General" sourceLinked="1"/>
        <c:majorTickMark val="none"/>
        <c:minorTickMark val="none"/>
        <c:tickLblPos val="nextTo"/>
        <c:crossAx val="110687360"/>
        <c:crosses val="autoZero"/>
        <c:crossBetween val="between"/>
      </c:valAx>
    </c:plotArea>
    <c:legend>
      <c:legendPos val="r"/>
      <c:layout>
        <c:manualLayout>
          <c:xMode val="edge"/>
          <c:yMode val="edge"/>
          <c:x val="0.83870953630796152"/>
          <c:y val="0.47872484689413825"/>
          <c:w val="0.11851567083526324"/>
          <c:h val="0.19443992887985775"/>
        </c:manualLayout>
      </c:layout>
      <c:overlay val="0"/>
    </c:legend>
    <c:plotVisOnly val="1"/>
    <c:dispBlanksAs val="gap"/>
    <c:showDLblsOverMax val="0"/>
  </c:chart>
  <c:txPr>
    <a:bodyPr/>
    <a:lstStyle/>
    <a:p>
      <a:pPr>
        <a:defRPr sz="900"/>
      </a:pPr>
      <a:endParaRPr lang="it-IT"/>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Mortalità Cardiocircolatorio</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'mortalita 2007-2015 x100000'!$Q$1</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'mortalita 2007-2015 x100000'!$P$2:$P$4</c:f>
              <c:strCache>
                <c:ptCount val="3"/>
                <c:pt idx="0">
                  <c:v>MANTOVA</c:v>
                </c:pt>
                <c:pt idx="1">
                  <c:v>CREMONA</c:v>
                </c:pt>
                <c:pt idx="2">
                  <c:v>CREMA</c:v>
                </c:pt>
              </c:strCache>
            </c:strRef>
          </c:cat>
          <c:val>
            <c:numRef>
              <c:f>'mortalita 2007-2015 x100000'!$Q$2:$Q$4</c:f>
              <c:numCache>
                <c:formatCode>0.0</c:formatCode>
                <c:ptCount val="3"/>
                <c:pt idx="0">
                  <c:v>338.1</c:v>
                </c:pt>
                <c:pt idx="1">
                  <c:v>323.83999999999997</c:v>
                </c:pt>
                <c:pt idx="2">
                  <c:v>343.88</c:v>
                </c:pt>
              </c:numCache>
            </c:numRef>
          </c:val>
        </c:ser>
        <c:ser>
          <c:idx val="1"/>
          <c:order val="1"/>
          <c:tx>
            <c:strRef>
              <c:f>'mortalita 2007-2015 x100000'!$R$1</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'mortalita 2007-2015 x100000'!$P$2:$P$4</c:f>
              <c:strCache>
                <c:ptCount val="3"/>
                <c:pt idx="0">
                  <c:v>MANTOVA</c:v>
                </c:pt>
                <c:pt idx="1">
                  <c:v>CREMONA</c:v>
                </c:pt>
                <c:pt idx="2">
                  <c:v>CREMA</c:v>
                </c:pt>
              </c:strCache>
            </c:strRef>
          </c:cat>
          <c:val>
            <c:numRef>
              <c:f>'mortalita 2007-2015 x100000'!$R$2:$R$4</c:f>
              <c:numCache>
                <c:formatCode>0.0</c:formatCode>
                <c:ptCount val="3"/>
                <c:pt idx="0">
                  <c:v>470.75</c:v>
                </c:pt>
                <c:pt idx="1">
                  <c:v>447.8</c:v>
                </c:pt>
                <c:pt idx="2">
                  <c:v>445.23</c:v>
                </c:pt>
              </c:numCache>
            </c:numRef>
          </c:val>
        </c:ser>
        <c:dLbls>
          <c:showLegendKey val="0"/>
          <c:showVal val="0"/>
          <c:showCatName val="0"/>
          <c:showSerName val="0"/>
          <c:showPercent val="0"/>
          <c:showBubbleSize val="0"/>
        </c:dLbls>
        <c:gapWidth val="150"/>
        <c:shape val="box"/>
        <c:axId val="112915200"/>
        <c:axId val="112916736"/>
        <c:axId val="0"/>
      </c:bar3DChart>
      <c:catAx>
        <c:axId val="112915200"/>
        <c:scaling>
          <c:orientation val="minMax"/>
        </c:scaling>
        <c:delete val="0"/>
        <c:axPos val="l"/>
        <c:majorTickMark val="none"/>
        <c:minorTickMark val="none"/>
        <c:tickLblPos val="nextTo"/>
        <c:txPr>
          <a:bodyPr/>
          <a:lstStyle/>
          <a:p>
            <a:pPr>
              <a:defRPr sz="800" b="1"/>
            </a:pPr>
            <a:endParaRPr lang="it-IT"/>
          </a:p>
        </c:txPr>
        <c:crossAx val="112916736"/>
        <c:crosses val="autoZero"/>
        <c:auto val="1"/>
        <c:lblAlgn val="ctr"/>
        <c:lblOffset val="100"/>
        <c:noMultiLvlLbl val="0"/>
      </c:catAx>
      <c:valAx>
        <c:axId val="11291673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12915200"/>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Mortalità T. del colon-retto</a:t>
            </a:r>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Word]mortalita 2007-2015 x100000'!$Q$27</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Word]mortalita 2007-2015 x100000'!$P$28:$P$30</c:f>
              <c:strCache>
                <c:ptCount val="3"/>
                <c:pt idx="0">
                  <c:v>MANTOVA</c:v>
                </c:pt>
                <c:pt idx="1">
                  <c:v>CREMONA</c:v>
                </c:pt>
                <c:pt idx="2">
                  <c:v>CREMA</c:v>
                </c:pt>
              </c:strCache>
            </c:strRef>
          </c:cat>
          <c:val>
            <c:numRef>
              <c:f>'[Grafico in Microsoft Word]mortalita 2007-2015 x100000'!$Q$28:$Q$30</c:f>
              <c:numCache>
                <c:formatCode>0.0</c:formatCode>
                <c:ptCount val="3"/>
                <c:pt idx="0">
                  <c:v>26.21</c:v>
                </c:pt>
                <c:pt idx="1">
                  <c:v>21.79</c:v>
                </c:pt>
                <c:pt idx="2">
                  <c:v>23.56</c:v>
                </c:pt>
              </c:numCache>
            </c:numRef>
          </c:val>
        </c:ser>
        <c:ser>
          <c:idx val="1"/>
          <c:order val="1"/>
          <c:tx>
            <c:strRef>
              <c:f>'[Grafico in Microsoft Word]mortalita 2007-2015 x100000'!$R$27</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Word]mortalita 2007-2015 x100000'!$P$28:$P$30</c:f>
              <c:strCache>
                <c:ptCount val="3"/>
                <c:pt idx="0">
                  <c:v>MANTOVA</c:v>
                </c:pt>
                <c:pt idx="1">
                  <c:v>CREMONA</c:v>
                </c:pt>
                <c:pt idx="2">
                  <c:v>CREMA</c:v>
                </c:pt>
              </c:strCache>
            </c:strRef>
          </c:cat>
          <c:val>
            <c:numRef>
              <c:f>'[Grafico in Microsoft Word]mortalita 2007-2015 x100000'!$R$28:$R$30</c:f>
              <c:numCache>
                <c:formatCode>0.0</c:formatCode>
                <c:ptCount val="3"/>
                <c:pt idx="0">
                  <c:v>45.87</c:v>
                </c:pt>
                <c:pt idx="1">
                  <c:v>39.26</c:v>
                </c:pt>
                <c:pt idx="2">
                  <c:v>42.44</c:v>
                </c:pt>
              </c:numCache>
            </c:numRef>
          </c:val>
        </c:ser>
        <c:dLbls>
          <c:showLegendKey val="0"/>
          <c:showVal val="0"/>
          <c:showCatName val="0"/>
          <c:showSerName val="0"/>
          <c:showPercent val="0"/>
          <c:showBubbleSize val="0"/>
        </c:dLbls>
        <c:gapWidth val="150"/>
        <c:shape val="box"/>
        <c:axId val="81927552"/>
        <c:axId val="81937536"/>
        <c:axId val="0"/>
      </c:bar3DChart>
      <c:catAx>
        <c:axId val="81927552"/>
        <c:scaling>
          <c:orientation val="minMax"/>
        </c:scaling>
        <c:delete val="0"/>
        <c:axPos val="l"/>
        <c:majorTickMark val="none"/>
        <c:minorTickMark val="none"/>
        <c:tickLblPos val="nextTo"/>
        <c:txPr>
          <a:bodyPr/>
          <a:lstStyle/>
          <a:p>
            <a:pPr>
              <a:defRPr sz="800" b="1"/>
            </a:pPr>
            <a:endParaRPr lang="it-IT"/>
          </a:p>
        </c:txPr>
        <c:crossAx val="81937536"/>
        <c:crosses val="autoZero"/>
        <c:auto val="1"/>
        <c:lblAlgn val="ctr"/>
        <c:lblOffset val="100"/>
        <c:noMultiLvlLbl val="0"/>
      </c:catAx>
      <c:valAx>
        <c:axId val="8193753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81927552"/>
        <c:crosses val="autoZero"/>
        <c:crossBetween val="between"/>
      </c:valAx>
    </c:plotArea>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Prevalenza -Cardiocircolatorio</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963672566007619"/>
          <c:y val="0.19166666666666668"/>
          <c:w val="0.70690329852969003"/>
          <c:h val="0.69896918127169583"/>
        </c:manualLayout>
      </c:layout>
      <c:bar3DChart>
        <c:barDir val="bar"/>
        <c:grouping val="clustered"/>
        <c:varyColors val="0"/>
        <c:ser>
          <c:idx val="0"/>
          <c:order val="0"/>
          <c:tx>
            <c:strRef>
              <c:f>'[Grafico in Microsoft Word]grafici_BDA'!$L$42</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Word]grafici_BDA'!$K$43:$K$45</c:f>
              <c:strCache>
                <c:ptCount val="3"/>
                <c:pt idx="0">
                  <c:v>MANTOVA</c:v>
                </c:pt>
                <c:pt idx="1">
                  <c:v>CREMONA</c:v>
                </c:pt>
                <c:pt idx="2">
                  <c:v>CREMA</c:v>
                </c:pt>
              </c:strCache>
            </c:strRef>
          </c:cat>
          <c:val>
            <c:numRef>
              <c:f>'[Grafico in Microsoft Word]grafici_BDA'!$L$43:$L$45</c:f>
              <c:numCache>
                <c:formatCode>0.0</c:formatCode>
                <c:ptCount val="3"/>
                <c:pt idx="0">
                  <c:v>234.34</c:v>
                </c:pt>
                <c:pt idx="1">
                  <c:v>168.86</c:v>
                </c:pt>
                <c:pt idx="2">
                  <c:v>183.7</c:v>
                </c:pt>
              </c:numCache>
            </c:numRef>
          </c:val>
        </c:ser>
        <c:ser>
          <c:idx val="1"/>
          <c:order val="1"/>
          <c:tx>
            <c:strRef>
              <c:f>'[Grafico in Microsoft Word]grafici_BDA'!$M$42</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Word]grafici_BDA'!$K$43:$K$45</c:f>
              <c:strCache>
                <c:ptCount val="3"/>
                <c:pt idx="0">
                  <c:v>MANTOVA</c:v>
                </c:pt>
                <c:pt idx="1">
                  <c:v>CREMONA</c:v>
                </c:pt>
                <c:pt idx="2">
                  <c:v>CREMA</c:v>
                </c:pt>
              </c:strCache>
            </c:strRef>
          </c:cat>
          <c:val>
            <c:numRef>
              <c:f>'[Grafico in Microsoft Word]grafici_BDA'!$M$43:$M$45</c:f>
              <c:numCache>
                <c:formatCode>0.0</c:formatCode>
                <c:ptCount val="3"/>
                <c:pt idx="0">
                  <c:v>258.27</c:v>
                </c:pt>
                <c:pt idx="1">
                  <c:v>196.61</c:v>
                </c:pt>
                <c:pt idx="2">
                  <c:v>205.26</c:v>
                </c:pt>
              </c:numCache>
            </c:numRef>
          </c:val>
        </c:ser>
        <c:dLbls>
          <c:showLegendKey val="0"/>
          <c:showVal val="0"/>
          <c:showCatName val="0"/>
          <c:showSerName val="0"/>
          <c:showPercent val="0"/>
          <c:showBubbleSize val="0"/>
        </c:dLbls>
        <c:gapWidth val="150"/>
        <c:shape val="box"/>
        <c:axId val="113172480"/>
        <c:axId val="113174016"/>
        <c:axId val="0"/>
      </c:bar3DChart>
      <c:catAx>
        <c:axId val="113172480"/>
        <c:scaling>
          <c:orientation val="minMax"/>
        </c:scaling>
        <c:delete val="0"/>
        <c:axPos val="l"/>
        <c:majorTickMark val="none"/>
        <c:minorTickMark val="none"/>
        <c:tickLblPos val="nextTo"/>
        <c:txPr>
          <a:bodyPr/>
          <a:lstStyle/>
          <a:p>
            <a:pPr>
              <a:defRPr sz="800" b="1"/>
            </a:pPr>
            <a:endParaRPr lang="it-IT"/>
          </a:p>
        </c:txPr>
        <c:crossAx val="113174016"/>
        <c:crosses val="autoZero"/>
        <c:auto val="1"/>
        <c:lblAlgn val="ctr"/>
        <c:lblOffset val="100"/>
        <c:noMultiLvlLbl val="0"/>
      </c:catAx>
      <c:valAx>
        <c:axId val="113174016"/>
        <c:scaling>
          <c:orientation val="minMax"/>
          <c:max val="280"/>
        </c:scaling>
        <c:delete val="0"/>
        <c:axPos val="b"/>
        <c:majorGridlines/>
        <c:numFmt formatCode="0.0" sourceLinked="1"/>
        <c:majorTickMark val="none"/>
        <c:minorTickMark val="none"/>
        <c:tickLblPos val="nextTo"/>
        <c:txPr>
          <a:bodyPr/>
          <a:lstStyle/>
          <a:p>
            <a:pPr>
              <a:defRPr sz="800" b="1"/>
            </a:pPr>
            <a:endParaRPr lang="it-IT"/>
          </a:p>
        </c:txPr>
        <c:crossAx val="113172480"/>
        <c:crosses val="autoZero"/>
        <c:crossBetween val="between"/>
        <c:majorUnit val="70"/>
      </c:valAx>
    </c:plotArea>
    <c:plotVisOnly val="1"/>
    <c:dispBlanksAs val="gap"/>
    <c:showDLblsOverMax val="0"/>
  </c:chart>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Mortalità IMA</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21242027559055118"/>
          <c:y val="0.18427947598253275"/>
          <c:w val="0.72286795881284072"/>
          <c:h val="0.67399282513266623"/>
        </c:manualLayout>
      </c:layout>
      <c:bar3DChart>
        <c:barDir val="bar"/>
        <c:grouping val="clustered"/>
        <c:varyColors val="0"/>
        <c:ser>
          <c:idx val="0"/>
          <c:order val="0"/>
          <c:tx>
            <c:strRef>
              <c:f>'mortalita 2007-2015 x100000'!$Q$15</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'mortalita 2007-2015 x100000'!$P$16:$P$18</c:f>
              <c:strCache>
                <c:ptCount val="3"/>
                <c:pt idx="0">
                  <c:v>MANTOVA</c:v>
                </c:pt>
                <c:pt idx="1">
                  <c:v>CREMONA</c:v>
                </c:pt>
                <c:pt idx="2">
                  <c:v>CREMA</c:v>
                </c:pt>
              </c:strCache>
            </c:strRef>
          </c:cat>
          <c:val>
            <c:numRef>
              <c:f>'mortalita 2007-2015 x100000'!$Q$16:$Q$18</c:f>
              <c:numCache>
                <c:formatCode>0.0</c:formatCode>
                <c:ptCount val="3"/>
                <c:pt idx="0">
                  <c:v>46.46</c:v>
                </c:pt>
                <c:pt idx="1">
                  <c:v>37.39</c:v>
                </c:pt>
                <c:pt idx="2">
                  <c:v>51.66</c:v>
                </c:pt>
              </c:numCache>
            </c:numRef>
          </c:val>
        </c:ser>
        <c:ser>
          <c:idx val="1"/>
          <c:order val="1"/>
          <c:tx>
            <c:strRef>
              <c:f>'mortalita 2007-2015 x100000'!$R$15</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'mortalita 2007-2015 x100000'!$P$16:$P$18</c:f>
              <c:strCache>
                <c:ptCount val="3"/>
                <c:pt idx="0">
                  <c:v>MANTOVA</c:v>
                </c:pt>
                <c:pt idx="1">
                  <c:v>CREMONA</c:v>
                </c:pt>
                <c:pt idx="2">
                  <c:v>CREMA</c:v>
                </c:pt>
              </c:strCache>
            </c:strRef>
          </c:cat>
          <c:val>
            <c:numRef>
              <c:f>'mortalita 2007-2015 x100000'!$R$16:$R$18</c:f>
              <c:numCache>
                <c:formatCode>0.0</c:formatCode>
                <c:ptCount val="3"/>
                <c:pt idx="0">
                  <c:v>83.7</c:v>
                </c:pt>
                <c:pt idx="1">
                  <c:v>68.98</c:v>
                </c:pt>
                <c:pt idx="2">
                  <c:v>84.49</c:v>
                </c:pt>
              </c:numCache>
            </c:numRef>
          </c:val>
        </c:ser>
        <c:dLbls>
          <c:showLegendKey val="0"/>
          <c:showVal val="0"/>
          <c:showCatName val="0"/>
          <c:showSerName val="0"/>
          <c:showPercent val="0"/>
          <c:showBubbleSize val="0"/>
        </c:dLbls>
        <c:gapWidth val="150"/>
        <c:shape val="box"/>
        <c:axId val="113105920"/>
        <c:axId val="113111808"/>
        <c:axId val="0"/>
      </c:bar3DChart>
      <c:catAx>
        <c:axId val="113105920"/>
        <c:scaling>
          <c:orientation val="minMax"/>
        </c:scaling>
        <c:delete val="0"/>
        <c:axPos val="l"/>
        <c:majorTickMark val="none"/>
        <c:minorTickMark val="none"/>
        <c:tickLblPos val="nextTo"/>
        <c:txPr>
          <a:bodyPr/>
          <a:lstStyle/>
          <a:p>
            <a:pPr>
              <a:defRPr sz="800" b="1"/>
            </a:pPr>
            <a:endParaRPr lang="it-IT"/>
          </a:p>
        </c:txPr>
        <c:crossAx val="113111808"/>
        <c:crosses val="autoZero"/>
        <c:auto val="1"/>
        <c:lblAlgn val="ctr"/>
        <c:lblOffset val="100"/>
        <c:noMultiLvlLbl val="0"/>
      </c:catAx>
      <c:valAx>
        <c:axId val="113111808"/>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13105920"/>
        <c:crosses val="autoZero"/>
        <c:crossBetween val="between"/>
      </c:valAx>
    </c:plotArea>
    <c:plotVisOnly val="1"/>
    <c:dispBlanksAs val="gap"/>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Prevalenza -Diabete</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9316276769751606"/>
          <c:y val="0.22758620689655173"/>
          <c:w val="0.69431564532694279"/>
          <c:h val="0.58626120010860716"/>
        </c:manualLayout>
      </c:layout>
      <c:bar3DChart>
        <c:barDir val="bar"/>
        <c:grouping val="clustered"/>
        <c:varyColors val="0"/>
        <c:ser>
          <c:idx val="0"/>
          <c:order val="0"/>
          <c:tx>
            <c:strRef>
              <c:f>'[Grafico in Microsoft Word]grafici_BDA'!$L$50</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Word]grafici_BDA'!$K$51:$K$53</c:f>
              <c:strCache>
                <c:ptCount val="3"/>
                <c:pt idx="0">
                  <c:v>MANTOVA</c:v>
                </c:pt>
                <c:pt idx="1">
                  <c:v>CREMONA</c:v>
                </c:pt>
                <c:pt idx="2">
                  <c:v>CREMA</c:v>
                </c:pt>
              </c:strCache>
            </c:strRef>
          </c:cat>
          <c:val>
            <c:numRef>
              <c:f>'[Grafico in Microsoft Word]grafici_BDA'!$L$51:$L$53</c:f>
              <c:numCache>
                <c:formatCode>0.0</c:formatCode>
                <c:ptCount val="3"/>
                <c:pt idx="0">
                  <c:v>49.65</c:v>
                </c:pt>
                <c:pt idx="1">
                  <c:v>40.04</c:v>
                </c:pt>
                <c:pt idx="2">
                  <c:v>40.200000000000003</c:v>
                </c:pt>
              </c:numCache>
            </c:numRef>
          </c:val>
        </c:ser>
        <c:ser>
          <c:idx val="1"/>
          <c:order val="1"/>
          <c:tx>
            <c:strRef>
              <c:f>'[Grafico in Microsoft Word]grafici_BDA'!$M$50</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Word]grafici_BDA'!$K$51:$K$53</c:f>
              <c:strCache>
                <c:ptCount val="3"/>
                <c:pt idx="0">
                  <c:v>MANTOVA</c:v>
                </c:pt>
                <c:pt idx="1">
                  <c:v>CREMONA</c:v>
                </c:pt>
                <c:pt idx="2">
                  <c:v>CREMA</c:v>
                </c:pt>
              </c:strCache>
            </c:strRef>
          </c:cat>
          <c:val>
            <c:numRef>
              <c:f>'[Grafico in Microsoft Word]grafici_BDA'!$M$51:$M$53</c:f>
              <c:numCache>
                <c:formatCode>0.0</c:formatCode>
                <c:ptCount val="3"/>
                <c:pt idx="0">
                  <c:v>67.63</c:v>
                </c:pt>
                <c:pt idx="1">
                  <c:v>58.05</c:v>
                </c:pt>
                <c:pt idx="2">
                  <c:v>58.33</c:v>
                </c:pt>
              </c:numCache>
            </c:numRef>
          </c:val>
        </c:ser>
        <c:dLbls>
          <c:showLegendKey val="0"/>
          <c:showVal val="0"/>
          <c:showCatName val="0"/>
          <c:showSerName val="0"/>
          <c:showPercent val="0"/>
          <c:showBubbleSize val="0"/>
        </c:dLbls>
        <c:gapWidth val="150"/>
        <c:shape val="box"/>
        <c:axId val="113436928"/>
        <c:axId val="113438720"/>
        <c:axId val="0"/>
      </c:bar3DChart>
      <c:catAx>
        <c:axId val="113436928"/>
        <c:scaling>
          <c:orientation val="minMax"/>
        </c:scaling>
        <c:delete val="0"/>
        <c:axPos val="l"/>
        <c:majorTickMark val="none"/>
        <c:minorTickMark val="none"/>
        <c:tickLblPos val="nextTo"/>
        <c:txPr>
          <a:bodyPr/>
          <a:lstStyle/>
          <a:p>
            <a:pPr>
              <a:defRPr sz="800" b="1"/>
            </a:pPr>
            <a:endParaRPr lang="it-IT"/>
          </a:p>
        </c:txPr>
        <c:crossAx val="113438720"/>
        <c:crosses val="autoZero"/>
        <c:auto val="1"/>
        <c:lblAlgn val="ctr"/>
        <c:lblOffset val="100"/>
        <c:noMultiLvlLbl val="0"/>
      </c:catAx>
      <c:valAx>
        <c:axId val="11343872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13436928"/>
        <c:crosses val="autoZero"/>
        <c:crossBetween val="between"/>
        <c:majorUnit val="30"/>
      </c:valAx>
    </c:plotArea>
    <c:plotVisOnly val="1"/>
    <c:dispBlanksAs val="gap"/>
    <c:showDLblsOverMax val="0"/>
  </c:chart>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Prevalenza -Insufficienza renale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Word]grafici_BDA'!$L$74</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Word]grafici_BDA'!$K$75:$K$77</c:f>
              <c:strCache>
                <c:ptCount val="3"/>
                <c:pt idx="0">
                  <c:v>MANTOVA</c:v>
                </c:pt>
                <c:pt idx="1">
                  <c:v>CREMONA</c:v>
                </c:pt>
                <c:pt idx="2">
                  <c:v>CREMA</c:v>
                </c:pt>
              </c:strCache>
            </c:strRef>
          </c:cat>
          <c:val>
            <c:numRef>
              <c:f>'[Grafico in Microsoft Word]grafici_BDA'!$L$75:$L$77</c:f>
              <c:numCache>
                <c:formatCode>0.0</c:formatCode>
                <c:ptCount val="3"/>
                <c:pt idx="0">
                  <c:v>5.66</c:v>
                </c:pt>
                <c:pt idx="1">
                  <c:v>2.2400000000000002</c:v>
                </c:pt>
                <c:pt idx="2">
                  <c:v>2.13</c:v>
                </c:pt>
              </c:numCache>
            </c:numRef>
          </c:val>
        </c:ser>
        <c:ser>
          <c:idx val="1"/>
          <c:order val="1"/>
          <c:tx>
            <c:strRef>
              <c:f>'[Grafico in Microsoft Word]grafici_BDA'!$M$74</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Word]grafici_BDA'!$K$75:$K$77</c:f>
              <c:strCache>
                <c:ptCount val="3"/>
                <c:pt idx="0">
                  <c:v>MANTOVA</c:v>
                </c:pt>
                <c:pt idx="1">
                  <c:v>CREMONA</c:v>
                </c:pt>
                <c:pt idx="2">
                  <c:v>CREMA</c:v>
                </c:pt>
              </c:strCache>
            </c:strRef>
          </c:cat>
          <c:val>
            <c:numRef>
              <c:f>'[Grafico in Microsoft Word]grafici_BDA'!$M$75:$M$77</c:f>
              <c:numCache>
                <c:formatCode>0.0</c:formatCode>
                <c:ptCount val="3"/>
                <c:pt idx="0">
                  <c:v>5.66</c:v>
                </c:pt>
                <c:pt idx="1">
                  <c:v>2.2400000000000002</c:v>
                </c:pt>
                <c:pt idx="2">
                  <c:v>2.13</c:v>
                </c:pt>
              </c:numCache>
            </c:numRef>
          </c:val>
        </c:ser>
        <c:dLbls>
          <c:showLegendKey val="0"/>
          <c:showVal val="0"/>
          <c:showCatName val="0"/>
          <c:showSerName val="0"/>
          <c:showPercent val="0"/>
          <c:showBubbleSize val="0"/>
        </c:dLbls>
        <c:gapWidth val="150"/>
        <c:shape val="box"/>
        <c:axId val="113600000"/>
        <c:axId val="113601536"/>
        <c:axId val="0"/>
      </c:bar3DChart>
      <c:catAx>
        <c:axId val="113600000"/>
        <c:scaling>
          <c:orientation val="minMax"/>
        </c:scaling>
        <c:delete val="0"/>
        <c:axPos val="l"/>
        <c:majorTickMark val="none"/>
        <c:minorTickMark val="none"/>
        <c:tickLblPos val="nextTo"/>
        <c:txPr>
          <a:bodyPr/>
          <a:lstStyle/>
          <a:p>
            <a:pPr>
              <a:defRPr sz="800" b="1"/>
            </a:pPr>
            <a:endParaRPr lang="it-IT"/>
          </a:p>
        </c:txPr>
        <c:crossAx val="113601536"/>
        <c:crosses val="autoZero"/>
        <c:auto val="1"/>
        <c:lblAlgn val="ctr"/>
        <c:lblOffset val="100"/>
        <c:noMultiLvlLbl val="0"/>
      </c:catAx>
      <c:valAx>
        <c:axId val="113601536"/>
        <c:scaling>
          <c:orientation val="minMax"/>
          <c:max val="8"/>
        </c:scaling>
        <c:delete val="0"/>
        <c:axPos val="b"/>
        <c:majorGridlines/>
        <c:numFmt formatCode="0.0" sourceLinked="1"/>
        <c:majorTickMark val="none"/>
        <c:minorTickMark val="none"/>
        <c:tickLblPos val="nextTo"/>
        <c:txPr>
          <a:bodyPr/>
          <a:lstStyle/>
          <a:p>
            <a:pPr>
              <a:defRPr sz="800" b="1"/>
            </a:pPr>
            <a:endParaRPr lang="it-IT"/>
          </a:p>
        </c:txPr>
        <c:crossAx val="113600000"/>
        <c:crosses val="autoZero"/>
        <c:crossBetween val="between"/>
        <c:majorUnit val="2"/>
      </c:valAx>
    </c:plotArea>
    <c:plotVisOnly val="1"/>
    <c:dispBlanksAs val="gap"/>
    <c:showDLblsOverMax val="0"/>
  </c:chart>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it-IT" sz="1400"/>
              <a:t>Mortalità cardio-circolatorio</a:t>
            </a:r>
            <a:r>
              <a:rPr lang="it-IT" sz="1400" baseline="0"/>
              <a:t> -</a:t>
            </a:r>
            <a:r>
              <a:rPr lang="it-IT" sz="1400"/>
              <a:t>M</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0735213144228531"/>
          <c:y val="0.25355601850217152"/>
          <c:w val="0.78529573711542933"/>
          <c:h val="0.48097218789355367"/>
        </c:manualLayout>
      </c:layout>
      <c:pie3DChart>
        <c:varyColors val="1"/>
        <c:ser>
          <c:idx val="0"/>
          <c:order val="0"/>
          <c:tx>
            <c:strRef>
              <c:f>CIRCOLATORIO!$B$3</c:f>
              <c:strCache>
                <c:ptCount val="1"/>
                <c:pt idx="0">
                  <c:v>MASCHI</c:v>
                </c:pt>
              </c:strCache>
            </c:strRef>
          </c:tx>
          <c:dLbls>
            <c:numFmt formatCode="0.0%" sourceLinked="0"/>
            <c:showLegendKey val="0"/>
            <c:showVal val="0"/>
            <c:showCatName val="0"/>
            <c:showSerName val="0"/>
            <c:showPercent val="1"/>
            <c:showBubbleSize val="0"/>
            <c:showLeaderLines val="1"/>
          </c:dLbls>
          <c:cat>
            <c:strRef>
              <c:f>CIRCOLATORIO!$A$5:$A$9</c:f>
              <c:strCache>
                <c:ptCount val="5"/>
                <c:pt idx="0">
                  <c:v>00-14</c:v>
                </c:pt>
                <c:pt idx="1">
                  <c:v>15-29</c:v>
                </c:pt>
                <c:pt idx="2">
                  <c:v>30-64</c:v>
                </c:pt>
                <c:pt idx="3">
                  <c:v>65-74</c:v>
                </c:pt>
                <c:pt idx="4">
                  <c:v>75+</c:v>
                </c:pt>
              </c:strCache>
            </c:strRef>
          </c:cat>
          <c:val>
            <c:numRef>
              <c:f>CIRCOLATORIO!$C$5:$C$9</c:f>
              <c:numCache>
                <c:formatCode>General</c:formatCode>
                <c:ptCount val="5"/>
                <c:pt idx="0">
                  <c:v>1.5479876160990713E-3</c:v>
                </c:pt>
                <c:pt idx="1">
                  <c:v>7.7399380804953565E-4</c:v>
                </c:pt>
                <c:pt idx="2">
                  <c:v>7.507739938080496E-2</c:v>
                </c:pt>
                <c:pt idx="3">
                  <c:v>0.12693498452012383</c:v>
                </c:pt>
                <c:pt idx="4">
                  <c:v>0.79566563467492257</c:v>
                </c:pt>
              </c:numCache>
            </c:numRef>
          </c:val>
        </c:ser>
        <c:dLbls>
          <c:showLegendKey val="0"/>
          <c:showVal val="0"/>
          <c:showCatName val="0"/>
          <c:showSerName val="0"/>
          <c:showPercent val="1"/>
          <c:showBubbleSize val="0"/>
          <c:showLeaderLines val="1"/>
        </c:dLbls>
      </c:pie3DChart>
    </c:plotArea>
    <c:legend>
      <c:legendPos val="b"/>
      <c:overlay val="0"/>
      <c:txPr>
        <a:bodyPr/>
        <a:lstStyle/>
        <a:p>
          <a:pPr>
            <a:defRPr sz="900"/>
          </a:pPr>
          <a:endParaRPr lang="it-IT"/>
        </a:p>
      </c:txPr>
    </c:legend>
    <c:plotVisOnly val="1"/>
    <c:dispBlanksAs val="gap"/>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400"/>
            </a:pPr>
            <a:r>
              <a:rPr lang="it-IT" sz="1400" b="1" i="0" u="none" strike="noStrike" baseline="0">
                <a:effectLst/>
              </a:rPr>
              <a:t>Mortalità cardio-circolatorio </a:t>
            </a:r>
            <a:r>
              <a:rPr lang="it-IT" sz="1400"/>
              <a:t>-F</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CIRCOLATORIO!$D$3</c:f>
              <c:strCache>
                <c:ptCount val="1"/>
                <c:pt idx="0">
                  <c:v>FEMMINE</c:v>
                </c:pt>
              </c:strCache>
            </c:strRef>
          </c:tx>
          <c:dLbls>
            <c:dLbl>
              <c:idx val="0"/>
              <c:layout>
                <c:manualLayout>
                  <c:x val="-1.7064746172914928E-2"/>
                  <c:y val="-5.1146561417896717E-2"/>
                </c:manualLayout>
              </c:layout>
              <c:showLegendKey val="0"/>
              <c:showVal val="0"/>
              <c:showCatName val="0"/>
              <c:showSerName val="0"/>
              <c:showPercent val="1"/>
              <c:showBubbleSize val="0"/>
            </c:dLbl>
            <c:dLbl>
              <c:idx val="1"/>
              <c:layout>
                <c:manualLayout>
                  <c:x val="6.6665433487172479E-2"/>
                  <c:y val="-4.3968453629282381E-2"/>
                </c:manualLayout>
              </c:layout>
              <c:showLegendKey val="0"/>
              <c:showVal val="0"/>
              <c:showCatName val="0"/>
              <c:showSerName val="0"/>
              <c:showPercent val="1"/>
              <c:showBubbleSize val="0"/>
            </c:dLbl>
            <c:dLbl>
              <c:idx val="2"/>
              <c:layout>
                <c:manualLayout>
                  <c:x val="-0.14081518330588258"/>
                  <c:y val="-5.5292342569824758E-2"/>
                </c:manualLayout>
              </c:layout>
              <c:showLegendKey val="0"/>
              <c:showVal val="0"/>
              <c:showCatName val="0"/>
              <c:showSerName val="0"/>
              <c:showPercent val="1"/>
              <c:showBubbleSize val="0"/>
            </c:dLbl>
            <c:dLbl>
              <c:idx val="3"/>
              <c:layout>
                <c:manualLayout>
                  <c:x val="0.11493203722835577"/>
                  <c:y val="-3.7347073098288927E-2"/>
                </c:manualLayout>
              </c:layout>
              <c:showLegendKey val="0"/>
              <c:showVal val="0"/>
              <c:showCatName val="0"/>
              <c:showSerName val="0"/>
              <c:showPercent val="1"/>
              <c:showBubbleSize val="0"/>
            </c:dLbl>
            <c:numFmt formatCode="0.0%" sourceLinked="0"/>
            <c:showLegendKey val="0"/>
            <c:showVal val="0"/>
            <c:showCatName val="0"/>
            <c:showSerName val="0"/>
            <c:showPercent val="1"/>
            <c:showBubbleSize val="0"/>
            <c:showLeaderLines val="1"/>
          </c:dLbls>
          <c:cat>
            <c:strRef>
              <c:f>CIRCOLATORIO!$A$5:$A$9</c:f>
              <c:strCache>
                <c:ptCount val="5"/>
                <c:pt idx="0">
                  <c:v>00-14</c:v>
                </c:pt>
                <c:pt idx="1">
                  <c:v>15-29</c:v>
                </c:pt>
                <c:pt idx="2">
                  <c:v>30-64</c:v>
                </c:pt>
                <c:pt idx="3">
                  <c:v>65-74</c:v>
                </c:pt>
                <c:pt idx="4">
                  <c:v>75+</c:v>
                </c:pt>
              </c:strCache>
            </c:strRef>
          </c:cat>
          <c:val>
            <c:numRef>
              <c:f>CIRCOLATORIO!$E$5:$E$9</c:f>
              <c:numCache>
                <c:formatCode>General</c:formatCode>
                <c:ptCount val="5"/>
                <c:pt idx="0">
                  <c:v>0</c:v>
                </c:pt>
                <c:pt idx="1">
                  <c:v>1.0188487009679063E-3</c:v>
                </c:pt>
                <c:pt idx="2">
                  <c:v>1.8848700967906265E-2</c:v>
                </c:pt>
                <c:pt idx="3">
                  <c:v>3.9735099337748346E-2</c:v>
                </c:pt>
                <c:pt idx="4">
                  <c:v>0.94039735099337751</c:v>
                </c:pt>
              </c:numCache>
            </c:numRef>
          </c:val>
        </c:ser>
        <c:dLbls>
          <c:showLegendKey val="0"/>
          <c:showVal val="0"/>
          <c:showCatName val="0"/>
          <c:showSerName val="0"/>
          <c:showPercent val="1"/>
          <c:showBubbleSize val="0"/>
          <c:showLeaderLines val="1"/>
        </c:dLbls>
      </c:pie3DChart>
    </c:plotArea>
    <c:legend>
      <c:legendPos val="b"/>
      <c:overlay val="0"/>
      <c:txPr>
        <a:bodyPr/>
        <a:lstStyle/>
        <a:p>
          <a:pPr>
            <a:defRPr sz="900"/>
          </a:pPr>
          <a:endParaRPr lang="it-IT"/>
        </a:p>
      </c:txPr>
    </c:legend>
    <c:plotVisOnly val="1"/>
    <c:dispBlanksAs val="gap"/>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Mortalità cardio-circolatorio-M</a:t>
            </a:r>
          </a:p>
        </c:rich>
      </c:tx>
      <c:overlay val="0"/>
    </c:title>
    <c:autoTitleDeleted val="0"/>
    <c:plotArea>
      <c:layout/>
      <c:lineChart>
        <c:grouping val="standard"/>
        <c:varyColors val="0"/>
        <c:ser>
          <c:idx val="0"/>
          <c:order val="0"/>
          <c:tx>
            <c:strRef>
              <c:f>circolatorio!$B$3</c:f>
              <c:strCache>
                <c:ptCount val="1"/>
                <c:pt idx="0">
                  <c:v>ATS</c:v>
                </c:pt>
              </c:strCache>
            </c:strRef>
          </c:tx>
          <c:spPr>
            <a:ln>
              <a:solidFill>
                <a:schemeClr val="accent1"/>
              </a:solidFill>
            </a:ln>
          </c:spPr>
          <c:marker>
            <c:symbol val="none"/>
          </c:marker>
          <c:cat>
            <c:numRef>
              <c:f>circolatorio!$A$4:$A$12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circolatorio!$B$4:$B$12</c:f>
              <c:numCache>
                <c:formatCode>0.00</c:formatCode>
                <c:ptCount val="9"/>
                <c:pt idx="0">
                  <c:v>41.359511875721431</c:v>
                </c:pt>
                <c:pt idx="1">
                  <c:v>41.647599950299409</c:v>
                </c:pt>
                <c:pt idx="2">
                  <c:v>40.13110117322389</c:v>
                </c:pt>
                <c:pt idx="3">
                  <c:v>39.428852970663812</c:v>
                </c:pt>
                <c:pt idx="4">
                  <c:v>34.978826086008318</c:v>
                </c:pt>
                <c:pt idx="5">
                  <c:v>36.062686327664366</c:v>
                </c:pt>
                <c:pt idx="6">
                  <c:v>32.594604770343416</c:v>
                </c:pt>
                <c:pt idx="7">
                  <c:v>31.633727415762589</c:v>
                </c:pt>
                <c:pt idx="8">
                  <c:v>32.416477213352657</c:v>
                </c:pt>
              </c:numCache>
            </c:numRef>
          </c:val>
          <c:smooth val="0"/>
        </c:ser>
        <c:ser>
          <c:idx val="1"/>
          <c:order val="1"/>
          <c:tx>
            <c:strRef>
              <c:f>circolatorio!$C$3</c:f>
              <c:strCache>
                <c:ptCount val="1"/>
                <c:pt idx="0">
                  <c:v>Lombardia</c:v>
                </c:pt>
              </c:strCache>
            </c:strRef>
          </c:tx>
          <c:marker>
            <c:symbol val="none"/>
          </c:marker>
          <c:cat>
            <c:numRef>
              <c:f>circolatorio!$A$4:$A$12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circolatorio!$C$4:$C$12</c:f>
              <c:numCache>
                <c:formatCode>General</c:formatCode>
                <c:ptCount val="9"/>
                <c:pt idx="0">
                  <c:v>37.24</c:v>
                </c:pt>
                <c:pt idx="1">
                  <c:v>36.19</c:v>
                </c:pt>
                <c:pt idx="2">
                  <c:v>34.68</c:v>
                </c:pt>
                <c:pt idx="3">
                  <c:v>33.130000000000003</c:v>
                </c:pt>
                <c:pt idx="4">
                  <c:v>31.17</c:v>
                </c:pt>
                <c:pt idx="5">
                  <c:v>31.96</c:v>
                </c:pt>
                <c:pt idx="6">
                  <c:v>29.57</c:v>
                </c:pt>
                <c:pt idx="7">
                  <c:v>28.38</c:v>
                </c:pt>
              </c:numCache>
            </c:numRef>
          </c:val>
          <c:smooth val="0"/>
        </c:ser>
        <c:ser>
          <c:idx val="2"/>
          <c:order val="2"/>
          <c:tx>
            <c:strRef>
              <c:f>circolatorio!$D$3</c:f>
              <c:strCache>
                <c:ptCount val="1"/>
                <c:pt idx="0">
                  <c:v>Italia</c:v>
                </c:pt>
              </c:strCache>
            </c:strRef>
          </c:tx>
          <c:marker>
            <c:symbol val="none"/>
          </c:marker>
          <c:cat>
            <c:numRef>
              <c:f>circolatorio!$A$4:$A$12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circolatorio!$D$4:$D$12</c:f>
              <c:numCache>
                <c:formatCode>General</c:formatCode>
                <c:ptCount val="9"/>
                <c:pt idx="0">
                  <c:v>39.799999999999997</c:v>
                </c:pt>
                <c:pt idx="1">
                  <c:v>38.93</c:v>
                </c:pt>
                <c:pt idx="2">
                  <c:v>37.29</c:v>
                </c:pt>
                <c:pt idx="3">
                  <c:v>35.76</c:v>
                </c:pt>
                <c:pt idx="4">
                  <c:v>35.130000000000003</c:v>
                </c:pt>
                <c:pt idx="5">
                  <c:v>35.299999999999997</c:v>
                </c:pt>
                <c:pt idx="6">
                  <c:v>33.28</c:v>
                </c:pt>
                <c:pt idx="7">
                  <c:v>31.78</c:v>
                </c:pt>
              </c:numCache>
            </c:numRef>
          </c:val>
          <c:smooth val="0"/>
        </c:ser>
        <c:dLbls>
          <c:showLegendKey val="0"/>
          <c:showVal val="0"/>
          <c:showCatName val="0"/>
          <c:showSerName val="0"/>
          <c:showPercent val="0"/>
          <c:showBubbleSize val="0"/>
        </c:dLbls>
        <c:marker val="1"/>
        <c:smooth val="0"/>
        <c:axId val="110647552"/>
        <c:axId val="112963584"/>
      </c:lineChart>
      <c:catAx>
        <c:axId val="110647552"/>
        <c:scaling>
          <c:orientation val="minMax"/>
        </c:scaling>
        <c:delete val="0"/>
        <c:axPos val="b"/>
        <c:numFmt formatCode="General" sourceLinked="1"/>
        <c:majorTickMark val="none"/>
        <c:minorTickMark val="none"/>
        <c:tickLblPos val="nextTo"/>
        <c:crossAx val="112963584"/>
        <c:crosses val="autoZero"/>
        <c:auto val="1"/>
        <c:lblAlgn val="ctr"/>
        <c:lblOffset val="100"/>
        <c:noMultiLvlLbl val="0"/>
      </c:catAx>
      <c:valAx>
        <c:axId val="112963584"/>
        <c:scaling>
          <c:orientation val="minMax"/>
        </c:scaling>
        <c:delete val="0"/>
        <c:axPos val="l"/>
        <c:majorGridlines/>
        <c:numFmt formatCode="0" sourceLinked="0"/>
        <c:majorTickMark val="none"/>
        <c:minorTickMark val="none"/>
        <c:tickLblPos val="nextTo"/>
        <c:spPr>
          <a:ln w="9525">
            <a:noFill/>
          </a:ln>
        </c:spPr>
        <c:crossAx val="110647552"/>
        <c:crosses val="autoZero"/>
        <c:crossBetween val="between"/>
      </c:valAx>
      <c:spPr>
        <a:ln>
          <a:solidFill>
            <a:schemeClr val="bg1">
              <a:lumMod val="50000"/>
            </a:schemeClr>
          </a:solidFill>
        </a:ln>
      </c:spPr>
    </c:plotArea>
    <c:legend>
      <c:legendPos val="b"/>
      <c:overlay val="0"/>
    </c:legend>
    <c:plotVisOnly val="1"/>
    <c:dispBlanksAs val="gap"/>
    <c:showDLblsOverMax val="0"/>
  </c:chart>
  <c:txPr>
    <a:bodyPr/>
    <a:lstStyle/>
    <a:p>
      <a:pPr>
        <a:defRPr sz="900"/>
      </a:pPr>
      <a:endParaRPr lang="it-IT"/>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Mortalità cardio-circolatorio -F</a:t>
            </a:r>
          </a:p>
        </c:rich>
      </c:tx>
      <c:overlay val="0"/>
    </c:title>
    <c:autoTitleDeleted val="0"/>
    <c:plotArea>
      <c:layout/>
      <c:lineChart>
        <c:grouping val="standard"/>
        <c:varyColors val="0"/>
        <c:ser>
          <c:idx val="0"/>
          <c:order val="0"/>
          <c:tx>
            <c:strRef>
              <c:f>circolatorio!$B$3</c:f>
              <c:strCache>
                <c:ptCount val="1"/>
                <c:pt idx="0">
                  <c:v>ATS</c:v>
                </c:pt>
              </c:strCache>
            </c:strRef>
          </c:tx>
          <c:spPr>
            <a:ln>
              <a:solidFill>
                <a:schemeClr val="accent1"/>
              </a:solidFill>
            </a:ln>
          </c:spPr>
          <c:marker>
            <c:symbol val="none"/>
          </c:marker>
          <c:cat>
            <c:numRef>
              <c:f>circolatorio!$A$4:$A$12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circolatorio!$M$4:$M$12</c:f>
              <c:numCache>
                <c:formatCode>0.00</c:formatCode>
                <c:ptCount val="9"/>
                <c:pt idx="0">
                  <c:v>28.012931534299153</c:v>
                </c:pt>
                <c:pt idx="1">
                  <c:v>28.911269067273484</c:v>
                </c:pt>
                <c:pt idx="2">
                  <c:v>27.680496011506989</c:v>
                </c:pt>
                <c:pt idx="3">
                  <c:v>26.213088785561379</c:v>
                </c:pt>
                <c:pt idx="4">
                  <c:v>26.333565513216094</c:v>
                </c:pt>
                <c:pt idx="5">
                  <c:v>26.497994366798888</c:v>
                </c:pt>
                <c:pt idx="6">
                  <c:v>22.865459285404373</c:v>
                </c:pt>
                <c:pt idx="7">
                  <c:v>22.618291022458362</c:v>
                </c:pt>
                <c:pt idx="8">
                  <c:v>23.99124638612566</c:v>
                </c:pt>
              </c:numCache>
            </c:numRef>
          </c:val>
          <c:smooth val="0"/>
        </c:ser>
        <c:ser>
          <c:idx val="1"/>
          <c:order val="1"/>
          <c:tx>
            <c:strRef>
              <c:f>circolatorio!$C$3</c:f>
              <c:strCache>
                <c:ptCount val="1"/>
                <c:pt idx="0">
                  <c:v>Lombardia</c:v>
                </c:pt>
              </c:strCache>
            </c:strRef>
          </c:tx>
          <c:marker>
            <c:symbol val="none"/>
          </c:marker>
          <c:cat>
            <c:numRef>
              <c:f>circolatorio!$A$4:$A$12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circolatorio!$N$4:$N$12</c:f>
              <c:numCache>
                <c:formatCode>General</c:formatCode>
                <c:ptCount val="9"/>
                <c:pt idx="0">
                  <c:v>26</c:v>
                </c:pt>
                <c:pt idx="1">
                  <c:v>25.08</c:v>
                </c:pt>
                <c:pt idx="2">
                  <c:v>24.42</c:v>
                </c:pt>
                <c:pt idx="3">
                  <c:v>23.08</c:v>
                </c:pt>
                <c:pt idx="4">
                  <c:v>22.57</c:v>
                </c:pt>
                <c:pt idx="5">
                  <c:v>22.56</c:v>
                </c:pt>
                <c:pt idx="6">
                  <c:v>21</c:v>
                </c:pt>
                <c:pt idx="7">
                  <c:v>19.93</c:v>
                </c:pt>
              </c:numCache>
            </c:numRef>
          </c:val>
          <c:smooth val="0"/>
        </c:ser>
        <c:ser>
          <c:idx val="2"/>
          <c:order val="2"/>
          <c:tx>
            <c:strRef>
              <c:f>circolatorio!$O$3</c:f>
              <c:strCache>
                <c:ptCount val="1"/>
                <c:pt idx="0">
                  <c:v>Italia</c:v>
                </c:pt>
              </c:strCache>
            </c:strRef>
          </c:tx>
          <c:marker>
            <c:symbol val="none"/>
          </c:marker>
          <c:cat>
            <c:numRef>
              <c:f>circolatorio!$A$4:$A$12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circolatorio!$O$4:$O$12</c:f>
              <c:numCache>
                <c:formatCode>General</c:formatCode>
                <c:ptCount val="9"/>
                <c:pt idx="0">
                  <c:v>28.93</c:v>
                </c:pt>
                <c:pt idx="1">
                  <c:v>27.83</c:v>
                </c:pt>
                <c:pt idx="2">
                  <c:v>26.96</c:v>
                </c:pt>
                <c:pt idx="3">
                  <c:v>25.62</c:v>
                </c:pt>
                <c:pt idx="4">
                  <c:v>25.29</c:v>
                </c:pt>
                <c:pt idx="5">
                  <c:v>25.66</c:v>
                </c:pt>
                <c:pt idx="6">
                  <c:v>23.87</c:v>
                </c:pt>
                <c:pt idx="7">
                  <c:v>23.05</c:v>
                </c:pt>
              </c:numCache>
            </c:numRef>
          </c:val>
          <c:smooth val="0"/>
        </c:ser>
        <c:dLbls>
          <c:showLegendKey val="0"/>
          <c:showVal val="0"/>
          <c:showCatName val="0"/>
          <c:showSerName val="0"/>
          <c:showPercent val="0"/>
          <c:showBubbleSize val="0"/>
        </c:dLbls>
        <c:marker val="1"/>
        <c:smooth val="0"/>
        <c:axId val="114300416"/>
        <c:axId val="114301952"/>
      </c:lineChart>
      <c:catAx>
        <c:axId val="114300416"/>
        <c:scaling>
          <c:orientation val="minMax"/>
        </c:scaling>
        <c:delete val="0"/>
        <c:axPos val="b"/>
        <c:numFmt formatCode="General" sourceLinked="1"/>
        <c:majorTickMark val="none"/>
        <c:minorTickMark val="none"/>
        <c:tickLblPos val="nextTo"/>
        <c:crossAx val="114301952"/>
        <c:crosses val="autoZero"/>
        <c:auto val="1"/>
        <c:lblAlgn val="ctr"/>
        <c:lblOffset val="100"/>
        <c:noMultiLvlLbl val="0"/>
      </c:catAx>
      <c:valAx>
        <c:axId val="114301952"/>
        <c:scaling>
          <c:orientation val="minMax"/>
          <c:max val="50"/>
        </c:scaling>
        <c:delete val="0"/>
        <c:axPos val="l"/>
        <c:majorGridlines/>
        <c:numFmt formatCode="0" sourceLinked="0"/>
        <c:majorTickMark val="none"/>
        <c:minorTickMark val="none"/>
        <c:tickLblPos val="nextTo"/>
        <c:spPr>
          <a:ln w="9525">
            <a:noFill/>
          </a:ln>
        </c:spPr>
        <c:crossAx val="114300416"/>
        <c:crosses val="autoZero"/>
        <c:crossBetween val="between"/>
        <c:majorUnit val="10"/>
      </c:valAx>
      <c:spPr>
        <a:ln>
          <a:solidFill>
            <a:schemeClr val="bg1">
              <a:lumMod val="50000"/>
            </a:schemeClr>
          </a:solidFill>
        </a:ln>
      </c:spPr>
    </c:plotArea>
    <c:legend>
      <c:legendPos val="b"/>
      <c:overlay val="0"/>
    </c:legend>
    <c:plotVisOnly val="1"/>
    <c:dispBlanksAs val="gap"/>
    <c:showDLblsOverMax val="0"/>
  </c:chart>
  <c:txPr>
    <a:bodyPr/>
    <a:lstStyle/>
    <a:p>
      <a:pPr>
        <a:defRPr sz="900"/>
      </a:pPr>
      <a:endParaRPr lang="it-IT"/>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Cardiopatie</a:t>
            </a:r>
          </a:p>
        </c:rich>
      </c:tx>
      <c:overlay val="0"/>
    </c:title>
    <c:autoTitleDeleted val="0"/>
    <c:plotArea>
      <c:layout/>
      <c:barChart>
        <c:barDir val="col"/>
        <c:grouping val="clustered"/>
        <c:varyColors val="0"/>
        <c:ser>
          <c:idx val="0"/>
          <c:order val="0"/>
          <c:tx>
            <c:strRef>
              <c:f>'07b'!$B$25</c:f>
              <c:strCache>
                <c:ptCount val="1"/>
                <c:pt idx="0">
                  <c:v>00-14</c:v>
                </c:pt>
              </c:strCache>
            </c:strRef>
          </c:tx>
          <c:invertIfNegative val="0"/>
          <c:dLbls>
            <c:showLegendKey val="0"/>
            <c:showVal val="1"/>
            <c:showCatName val="0"/>
            <c:showSerName val="0"/>
            <c:showPercent val="0"/>
            <c:showBubbleSize val="0"/>
            <c:showLeaderLines val="0"/>
          </c:dLbls>
          <c:cat>
            <c:multiLvlStrRef>
              <c:f>'07b'!$C$23:$H$24</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'07b'!$C$25:$H$25</c:f>
              <c:numCache>
                <c:formatCode>#,##0.00</c:formatCode>
                <c:ptCount val="6"/>
                <c:pt idx="0">
                  <c:v>2.7254918661102123</c:v>
                </c:pt>
                <c:pt idx="1">
                  <c:v>1.8542555164101613</c:v>
                </c:pt>
                <c:pt idx="2">
                  <c:v>19.575732185702861</c:v>
                </c:pt>
                <c:pt idx="3">
                  <c:v>19.686838061220254</c:v>
                </c:pt>
                <c:pt idx="4">
                  <c:v>54.586343192040346</c:v>
                </c:pt>
                <c:pt idx="5">
                  <c:v>42.79956027849029</c:v>
                </c:pt>
              </c:numCache>
            </c:numRef>
          </c:val>
        </c:ser>
        <c:ser>
          <c:idx val="1"/>
          <c:order val="1"/>
          <c:tx>
            <c:strRef>
              <c:f>'07b'!$B$26</c:f>
              <c:strCache>
                <c:ptCount val="1"/>
                <c:pt idx="0">
                  <c:v>15-29</c:v>
                </c:pt>
              </c:strCache>
            </c:strRef>
          </c:tx>
          <c:invertIfNegative val="0"/>
          <c:dLbls>
            <c:dLbl>
              <c:idx val="2"/>
              <c:layout>
                <c:manualLayout>
                  <c:x val="-1.7204301075268817E-3"/>
                  <c:y val="-7.0796460176991149E-2"/>
                </c:manualLayout>
              </c:layout>
              <c:showLegendKey val="0"/>
              <c:showVal val="1"/>
              <c:showCatName val="0"/>
              <c:showSerName val="0"/>
              <c:showPercent val="0"/>
              <c:showBubbleSize val="0"/>
            </c:dLbl>
            <c:dLbl>
              <c:idx val="3"/>
              <c:layout>
                <c:manualLayout>
                  <c:x val="-6.8817204301075902E-3"/>
                  <c:y val="-2.3598820058996977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multiLvlStrRef>
              <c:f>'07b'!$C$23:$H$24</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'07b'!$C$26:$H$26</c:f>
              <c:numCache>
                <c:formatCode>#,##0.00</c:formatCode>
                <c:ptCount val="6"/>
                <c:pt idx="0">
                  <c:v>4.6148682664876652</c:v>
                </c:pt>
                <c:pt idx="1">
                  <c:v>4.5193811924213456</c:v>
                </c:pt>
                <c:pt idx="2">
                  <c:v>18.802253399834942</c:v>
                </c:pt>
                <c:pt idx="3">
                  <c:v>20.908298928070906</c:v>
                </c:pt>
                <c:pt idx="4">
                  <c:v>27.05707297884349</c:v>
                </c:pt>
                <c:pt idx="5">
                  <c:v>34.317913296373717</c:v>
                </c:pt>
              </c:numCache>
            </c:numRef>
          </c:val>
        </c:ser>
        <c:ser>
          <c:idx val="2"/>
          <c:order val="2"/>
          <c:tx>
            <c:strRef>
              <c:f>'07b'!$B$27</c:f>
              <c:strCache>
                <c:ptCount val="1"/>
                <c:pt idx="0">
                  <c:v>30-64</c:v>
                </c:pt>
              </c:strCache>
            </c:strRef>
          </c:tx>
          <c:invertIfNegative val="0"/>
          <c:dLbls>
            <c:showLegendKey val="0"/>
            <c:showVal val="1"/>
            <c:showCatName val="0"/>
            <c:showSerName val="0"/>
            <c:showPercent val="0"/>
            <c:showBubbleSize val="0"/>
            <c:showLeaderLines val="0"/>
          </c:dLbls>
          <c:cat>
            <c:multiLvlStrRef>
              <c:f>'07b'!$C$23:$H$24</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'07b'!$C$27:$H$27</c:f>
              <c:numCache>
                <c:formatCode>#,##0.00</c:formatCode>
                <c:ptCount val="6"/>
                <c:pt idx="0">
                  <c:v>40.551849460822993</c:v>
                </c:pt>
                <c:pt idx="1">
                  <c:v>16.506661442006269</c:v>
                </c:pt>
                <c:pt idx="2">
                  <c:v>48.069337868434268</c:v>
                </c:pt>
                <c:pt idx="3">
                  <c:v>29.360164027986219</c:v>
                </c:pt>
                <c:pt idx="4">
                  <c:v>53.102458661170871</c:v>
                </c:pt>
                <c:pt idx="5">
                  <c:v>38.475887527489789</c:v>
                </c:pt>
              </c:numCache>
            </c:numRef>
          </c:val>
        </c:ser>
        <c:dLbls>
          <c:showLegendKey val="0"/>
          <c:showVal val="0"/>
          <c:showCatName val="0"/>
          <c:showSerName val="0"/>
          <c:showPercent val="0"/>
          <c:showBubbleSize val="0"/>
        </c:dLbls>
        <c:gapWidth val="150"/>
        <c:axId val="114330240"/>
        <c:axId val="114344320"/>
      </c:barChart>
      <c:catAx>
        <c:axId val="114330240"/>
        <c:scaling>
          <c:orientation val="minMax"/>
        </c:scaling>
        <c:delete val="0"/>
        <c:axPos val="b"/>
        <c:numFmt formatCode="General" sourceLinked="1"/>
        <c:majorTickMark val="none"/>
        <c:minorTickMark val="none"/>
        <c:tickLblPos val="nextTo"/>
        <c:crossAx val="114344320"/>
        <c:crosses val="autoZero"/>
        <c:auto val="1"/>
        <c:lblAlgn val="ctr"/>
        <c:lblOffset val="100"/>
        <c:noMultiLvlLbl val="0"/>
      </c:catAx>
      <c:valAx>
        <c:axId val="114344320"/>
        <c:scaling>
          <c:orientation val="minMax"/>
        </c:scaling>
        <c:delete val="0"/>
        <c:axPos val="l"/>
        <c:majorGridlines/>
        <c:numFmt formatCode="#,##0" sourceLinked="0"/>
        <c:majorTickMark val="none"/>
        <c:minorTickMark val="none"/>
        <c:tickLblPos val="nextTo"/>
        <c:crossAx val="114330240"/>
        <c:crosses val="autoZero"/>
        <c:crossBetween val="between"/>
      </c:valAx>
    </c:plotArea>
    <c:legend>
      <c:legendPos val="r"/>
      <c:overlay val="0"/>
    </c:legend>
    <c:plotVisOnly val="1"/>
    <c:dispBlanksAs val="gap"/>
    <c:showDLblsOverMax val="0"/>
  </c:chart>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it-IT" sz="1400"/>
              <a:t>Ipertensione</a:t>
            </a:r>
          </a:p>
        </c:rich>
      </c:tx>
      <c:overlay val="0"/>
    </c:title>
    <c:autoTitleDeleted val="0"/>
    <c:plotArea>
      <c:layout/>
      <c:barChart>
        <c:barDir val="col"/>
        <c:grouping val="clustered"/>
        <c:varyColors val="0"/>
        <c:ser>
          <c:idx val="0"/>
          <c:order val="0"/>
          <c:tx>
            <c:strRef>
              <c:f>'07a'!$B$21</c:f>
              <c:strCache>
                <c:ptCount val="1"/>
                <c:pt idx="0">
                  <c:v>00-14</c:v>
                </c:pt>
              </c:strCache>
            </c:strRef>
          </c:tx>
          <c:invertIfNegative val="0"/>
          <c:dLbls>
            <c:dLbl>
              <c:idx val="2"/>
              <c:layout>
                <c:manualLayout>
                  <c:x val="-2.4600439705184454E-2"/>
                  <c:y val="0.12004287245444802"/>
                </c:manualLayout>
              </c:layout>
              <c:showLegendKey val="0"/>
              <c:showVal val="1"/>
              <c:showCatName val="0"/>
              <c:showSerName val="0"/>
              <c:showPercent val="0"/>
              <c:showBubbleSize val="0"/>
            </c:dLbl>
            <c:numFmt formatCode="#,##0.00" sourceLinked="0"/>
            <c:showLegendKey val="0"/>
            <c:showVal val="1"/>
            <c:showCatName val="0"/>
            <c:showSerName val="0"/>
            <c:showPercent val="0"/>
            <c:showBubbleSize val="0"/>
            <c:showLeaderLines val="0"/>
          </c:dLbls>
          <c:cat>
            <c:multiLvlStrRef>
              <c:f>'07a'!$C$19:$H$20</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'07a'!$C$21:$H$21</c:f>
              <c:numCache>
                <c:formatCode>#,##0.0</c:formatCode>
                <c:ptCount val="6"/>
                <c:pt idx="0">
                  <c:v>0.68137296652755308</c:v>
                </c:pt>
                <c:pt idx="1">
                  <c:v>0.27813832746152417</c:v>
                </c:pt>
                <c:pt idx="2">
                  <c:v>0.38085082073351872</c:v>
                </c:pt>
                <c:pt idx="3">
                  <c:v>0.41533413631266353</c:v>
                </c:pt>
                <c:pt idx="4">
                  <c:v>0.23851710508382173</c:v>
                </c:pt>
                <c:pt idx="5">
                  <c:v>0.51300842799560276</c:v>
                </c:pt>
              </c:numCache>
            </c:numRef>
          </c:val>
        </c:ser>
        <c:ser>
          <c:idx val="1"/>
          <c:order val="1"/>
          <c:tx>
            <c:strRef>
              <c:f>'07a'!$B$22</c:f>
              <c:strCache>
                <c:ptCount val="1"/>
                <c:pt idx="0">
                  <c:v>15-29</c:v>
                </c:pt>
              </c:strCache>
            </c:strRef>
          </c:tx>
          <c:invertIfNegative val="0"/>
          <c:dLbls>
            <c:dLbl>
              <c:idx val="0"/>
              <c:layout>
                <c:manualLayout>
                  <c:x val="0"/>
                  <c:y val="-5.1446945337620655E-2"/>
                </c:manualLayout>
              </c:layout>
              <c:showLegendKey val="0"/>
              <c:showVal val="1"/>
              <c:showCatName val="0"/>
              <c:showSerName val="0"/>
              <c:showPercent val="0"/>
              <c:showBubbleSize val="0"/>
            </c:dLbl>
            <c:dLbl>
              <c:idx val="1"/>
              <c:layout>
                <c:manualLayout>
                  <c:x val="0"/>
                  <c:y val="-6.4308681672025719E-2"/>
                </c:manualLayout>
              </c:layout>
              <c:showLegendKey val="0"/>
              <c:showVal val="1"/>
              <c:showCatName val="0"/>
              <c:showSerName val="0"/>
              <c:showPercent val="0"/>
              <c:showBubbleSize val="0"/>
            </c:dLbl>
            <c:dLbl>
              <c:idx val="3"/>
              <c:layout>
                <c:manualLayout>
                  <c:x val="0"/>
                  <c:y val="-8.5745246474415782E-2"/>
                </c:manualLayout>
              </c:layout>
              <c:showLegendKey val="0"/>
              <c:showVal val="1"/>
              <c:showCatName val="0"/>
              <c:showSerName val="0"/>
              <c:showPercent val="0"/>
              <c:showBubbleSize val="0"/>
            </c:dLbl>
            <c:dLbl>
              <c:idx val="4"/>
              <c:layout>
                <c:manualLayout>
                  <c:x val="0"/>
                  <c:y val="-5.1446945337620578E-2"/>
                </c:manualLayout>
              </c:layout>
              <c:showLegendKey val="0"/>
              <c:showVal val="1"/>
              <c:showCatName val="0"/>
              <c:showSerName val="0"/>
              <c:showPercent val="0"/>
              <c:showBubbleSize val="0"/>
            </c:dLbl>
            <c:dLbl>
              <c:idx val="5"/>
              <c:layout>
                <c:manualLayout>
                  <c:x val="-7.3800738007380072E-3"/>
                  <c:y val="-5.5734190782422297E-2"/>
                </c:manualLayout>
              </c:layout>
              <c:showLegendKey val="0"/>
              <c:showVal val="1"/>
              <c:showCatName val="0"/>
              <c:showSerName val="0"/>
              <c:showPercent val="0"/>
              <c:showBubbleSize val="0"/>
            </c:dLbl>
            <c:numFmt formatCode="#,##0.00" sourceLinked="0"/>
            <c:showLegendKey val="0"/>
            <c:showVal val="1"/>
            <c:showCatName val="0"/>
            <c:showSerName val="0"/>
            <c:showPercent val="0"/>
            <c:showBubbleSize val="0"/>
            <c:showLeaderLines val="0"/>
          </c:dLbls>
          <c:cat>
            <c:multiLvlStrRef>
              <c:f>'07a'!$C$19:$H$20</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'07a'!$C$22:$H$22</c:f>
              <c:numCache>
                <c:formatCode>#,##0.0</c:formatCode>
                <c:ptCount val="6"/>
                <c:pt idx="0">
                  <c:v>5.2861218325222357</c:v>
                </c:pt>
                <c:pt idx="1">
                  <c:v>2.2596905962106728</c:v>
                </c:pt>
                <c:pt idx="2">
                  <c:v>5.0952671427033618</c:v>
                </c:pt>
                <c:pt idx="3">
                  <c:v>3.1816976629673119</c:v>
                </c:pt>
                <c:pt idx="4">
                  <c:v>4.6520378320135451</c:v>
                </c:pt>
                <c:pt idx="5">
                  <c:v>2.9082977369808232</c:v>
                </c:pt>
              </c:numCache>
            </c:numRef>
          </c:val>
        </c:ser>
        <c:ser>
          <c:idx val="2"/>
          <c:order val="2"/>
          <c:tx>
            <c:strRef>
              <c:f>'07a'!$B$23</c:f>
              <c:strCache>
                <c:ptCount val="1"/>
                <c:pt idx="0">
                  <c:v>30-64</c:v>
                </c:pt>
              </c:strCache>
            </c:strRef>
          </c:tx>
          <c:invertIfNegative val="0"/>
          <c:dLbls>
            <c:numFmt formatCode="#,##0.00" sourceLinked="0"/>
            <c:showLegendKey val="0"/>
            <c:showVal val="1"/>
            <c:showCatName val="0"/>
            <c:showSerName val="0"/>
            <c:showPercent val="0"/>
            <c:showBubbleSize val="0"/>
            <c:showLeaderLines val="0"/>
          </c:dLbls>
          <c:cat>
            <c:multiLvlStrRef>
              <c:f>'07a'!$C$19:$H$20</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'07a'!$C$23:$H$23</c:f>
              <c:numCache>
                <c:formatCode>#,##0.0</c:formatCode>
                <c:ptCount val="6"/>
                <c:pt idx="0">
                  <c:v>171.31721779881883</c:v>
                </c:pt>
                <c:pt idx="1">
                  <c:v>133.20434952978056</c:v>
                </c:pt>
                <c:pt idx="2">
                  <c:v>168.16072288416029</c:v>
                </c:pt>
                <c:pt idx="3">
                  <c:v>131.89879304149315</c:v>
                </c:pt>
                <c:pt idx="4">
                  <c:v>173.35824417115288</c:v>
                </c:pt>
                <c:pt idx="5">
                  <c:v>137.39985862393968</c:v>
                </c:pt>
              </c:numCache>
            </c:numRef>
          </c:val>
        </c:ser>
        <c:dLbls>
          <c:showLegendKey val="0"/>
          <c:showVal val="0"/>
          <c:showCatName val="0"/>
          <c:showSerName val="0"/>
          <c:showPercent val="0"/>
          <c:showBubbleSize val="0"/>
        </c:dLbls>
        <c:gapWidth val="150"/>
        <c:axId val="114388352"/>
        <c:axId val="114402432"/>
      </c:barChart>
      <c:catAx>
        <c:axId val="114388352"/>
        <c:scaling>
          <c:orientation val="minMax"/>
        </c:scaling>
        <c:delete val="0"/>
        <c:axPos val="b"/>
        <c:numFmt formatCode="General" sourceLinked="1"/>
        <c:majorTickMark val="none"/>
        <c:minorTickMark val="none"/>
        <c:tickLblPos val="nextTo"/>
        <c:crossAx val="114402432"/>
        <c:crosses val="autoZero"/>
        <c:auto val="1"/>
        <c:lblAlgn val="ctr"/>
        <c:lblOffset val="100"/>
        <c:noMultiLvlLbl val="0"/>
      </c:catAx>
      <c:valAx>
        <c:axId val="114402432"/>
        <c:scaling>
          <c:orientation val="minMax"/>
        </c:scaling>
        <c:delete val="0"/>
        <c:axPos val="l"/>
        <c:majorGridlines/>
        <c:numFmt formatCode="#,##0" sourceLinked="0"/>
        <c:majorTickMark val="none"/>
        <c:minorTickMark val="none"/>
        <c:tickLblPos val="nextTo"/>
        <c:crossAx val="114388352"/>
        <c:crosses val="autoZero"/>
        <c:crossBetween val="between"/>
        <c:majorUnit val="40"/>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Incidenza</a:t>
            </a:r>
            <a:r>
              <a:rPr lang="it-IT" sz="1200" baseline="0"/>
              <a:t> T. c</a:t>
            </a:r>
            <a:r>
              <a:rPr lang="it-IT" sz="1200"/>
              <a:t>ervice</a:t>
            </a:r>
            <a:r>
              <a:rPr lang="it-IT" sz="1200" baseline="0"/>
              <a:t> uterina</a:t>
            </a:r>
            <a:endParaRPr lang="it-IT" sz="1200"/>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Word]Incidenza Tumori'!$K$512</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Word]Incidenza Tumori'!$J$513:$J$515</c:f>
              <c:strCache>
                <c:ptCount val="3"/>
                <c:pt idx="0">
                  <c:v>MANTOVA</c:v>
                </c:pt>
                <c:pt idx="1">
                  <c:v>CREMONA</c:v>
                </c:pt>
                <c:pt idx="2">
                  <c:v>CREMA</c:v>
                </c:pt>
              </c:strCache>
            </c:strRef>
          </c:cat>
          <c:val>
            <c:numRef>
              <c:f>'[Grafico in Microsoft Word]Incidenza Tumori'!$K$513:$K$515</c:f>
              <c:numCache>
                <c:formatCode>0.0</c:formatCode>
                <c:ptCount val="3"/>
                <c:pt idx="0">
                  <c:v>6.41</c:v>
                </c:pt>
                <c:pt idx="1">
                  <c:v>9.61</c:v>
                </c:pt>
                <c:pt idx="2">
                  <c:v>5.82</c:v>
                </c:pt>
              </c:numCache>
            </c:numRef>
          </c:val>
        </c:ser>
        <c:dLbls>
          <c:showLegendKey val="0"/>
          <c:showVal val="0"/>
          <c:showCatName val="0"/>
          <c:showSerName val="0"/>
          <c:showPercent val="0"/>
          <c:showBubbleSize val="0"/>
        </c:dLbls>
        <c:gapWidth val="150"/>
        <c:shape val="box"/>
        <c:axId val="81978880"/>
        <c:axId val="81980416"/>
        <c:axId val="0"/>
      </c:bar3DChart>
      <c:catAx>
        <c:axId val="81978880"/>
        <c:scaling>
          <c:orientation val="minMax"/>
        </c:scaling>
        <c:delete val="0"/>
        <c:axPos val="l"/>
        <c:majorTickMark val="none"/>
        <c:minorTickMark val="none"/>
        <c:tickLblPos val="nextTo"/>
        <c:txPr>
          <a:bodyPr/>
          <a:lstStyle/>
          <a:p>
            <a:pPr>
              <a:defRPr sz="800" b="1"/>
            </a:pPr>
            <a:endParaRPr lang="it-IT"/>
          </a:p>
        </c:txPr>
        <c:crossAx val="81980416"/>
        <c:crosses val="autoZero"/>
        <c:auto val="1"/>
        <c:lblAlgn val="ctr"/>
        <c:lblOffset val="100"/>
        <c:noMultiLvlLbl val="0"/>
      </c:catAx>
      <c:valAx>
        <c:axId val="8198041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81978880"/>
        <c:crosses val="autoZero"/>
        <c:crossBetween val="between"/>
      </c:valAx>
    </c:plotArea>
    <c:plotVisOnly val="1"/>
    <c:dispBlanksAs val="gap"/>
    <c:showDLblsOverMax val="0"/>
  </c:chart>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Dislipidemie </a:t>
            </a:r>
          </a:p>
        </c:rich>
      </c:tx>
      <c:overlay val="0"/>
    </c:title>
    <c:autoTitleDeleted val="0"/>
    <c:plotArea>
      <c:layout/>
      <c:barChart>
        <c:barDir val="col"/>
        <c:grouping val="clustered"/>
        <c:varyColors val="0"/>
        <c:ser>
          <c:idx val="0"/>
          <c:order val="0"/>
          <c:tx>
            <c:strRef>
              <c:f>'12i'!$B$24</c:f>
              <c:strCache>
                <c:ptCount val="1"/>
                <c:pt idx="0">
                  <c:v>00-14</c:v>
                </c:pt>
              </c:strCache>
            </c:strRef>
          </c:tx>
          <c:invertIfNegative val="0"/>
          <c:dLbls>
            <c:dLbl>
              <c:idx val="2"/>
              <c:layout>
                <c:manualLayout>
                  <c:x val="-2.4600439705184454E-2"/>
                  <c:y val="0.12004287245444802"/>
                </c:manualLayout>
              </c:layout>
              <c:showLegendKey val="0"/>
              <c:showVal val="1"/>
              <c:showCatName val="0"/>
              <c:showSerName val="0"/>
              <c:showPercent val="0"/>
              <c:showBubbleSize val="0"/>
            </c:dLbl>
            <c:dLbl>
              <c:idx val="5"/>
              <c:layout>
                <c:manualLayout>
                  <c:x val="-7.3800738007380974E-3"/>
                  <c:y val="-6.0021436227223966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multiLvlStrRef>
              <c:f>'12i'!$C$22:$H$23</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'12i'!$C$24:$H$24</c:f>
              <c:numCache>
                <c:formatCode>#,##0.00</c:formatCode>
                <c:ptCount val="6"/>
                <c:pt idx="0">
                  <c:v>0.34068648326377654</c:v>
                </c:pt>
                <c:pt idx="1">
                  <c:v>9.2712775820508075E-2</c:v>
                </c:pt>
                <c:pt idx="2">
                  <c:v>0</c:v>
                </c:pt>
                <c:pt idx="3">
                  <c:v>0</c:v>
                </c:pt>
                <c:pt idx="4">
                  <c:v>0</c:v>
                </c:pt>
                <c:pt idx="5">
                  <c:v>7.3286918285086114E-2</c:v>
                </c:pt>
              </c:numCache>
            </c:numRef>
          </c:val>
        </c:ser>
        <c:ser>
          <c:idx val="1"/>
          <c:order val="1"/>
          <c:tx>
            <c:strRef>
              <c:f>'12i'!$B$25</c:f>
              <c:strCache>
                <c:ptCount val="1"/>
                <c:pt idx="0">
                  <c:v>15-29</c:v>
                </c:pt>
              </c:strCache>
            </c:strRef>
          </c:tx>
          <c:invertIfNegative val="0"/>
          <c:dLbls>
            <c:dLbl>
              <c:idx val="0"/>
              <c:layout>
                <c:manualLayout>
                  <c:x val="0"/>
                  <c:y val="-5.1446945337620655E-2"/>
                </c:manualLayout>
              </c:layout>
              <c:showLegendKey val="0"/>
              <c:showVal val="1"/>
              <c:showCatName val="0"/>
              <c:showSerName val="0"/>
              <c:showPercent val="0"/>
              <c:showBubbleSize val="0"/>
            </c:dLbl>
            <c:dLbl>
              <c:idx val="1"/>
              <c:layout>
                <c:manualLayout>
                  <c:x val="0"/>
                  <c:y val="-6.4308681672025719E-2"/>
                </c:manualLayout>
              </c:layout>
              <c:showLegendKey val="0"/>
              <c:showVal val="1"/>
              <c:showCatName val="0"/>
              <c:showSerName val="0"/>
              <c:showPercent val="0"/>
              <c:showBubbleSize val="0"/>
            </c:dLbl>
            <c:dLbl>
              <c:idx val="3"/>
              <c:layout>
                <c:manualLayout>
                  <c:x val="0"/>
                  <c:y val="-8.5745246474415782E-2"/>
                </c:manualLayout>
              </c:layout>
              <c:showLegendKey val="0"/>
              <c:showVal val="1"/>
              <c:showCatName val="0"/>
              <c:showSerName val="0"/>
              <c:showPercent val="0"/>
              <c:showBubbleSize val="0"/>
            </c:dLbl>
            <c:dLbl>
              <c:idx val="4"/>
              <c:layout>
                <c:manualLayout>
                  <c:x val="0"/>
                  <c:y val="-5.1446945337620578E-2"/>
                </c:manualLayout>
              </c:layout>
              <c:showLegendKey val="0"/>
              <c:showVal val="1"/>
              <c:showCatName val="0"/>
              <c:showSerName val="0"/>
              <c:showPercent val="0"/>
              <c:showBubbleSize val="0"/>
            </c:dLbl>
            <c:dLbl>
              <c:idx val="5"/>
              <c:layout>
                <c:manualLayout>
                  <c:x val="2.4598308975215736E-3"/>
                  <c:y val="1.714898177920685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multiLvlStrRef>
              <c:f>'12i'!$C$22:$H$23</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'12i'!$C$25:$H$25</c:f>
              <c:numCache>
                <c:formatCode>#,##0.00</c:formatCode>
                <c:ptCount val="6"/>
                <c:pt idx="0">
                  <c:v>1.8459473065950662</c:v>
                </c:pt>
                <c:pt idx="1">
                  <c:v>0.95602294455066916</c:v>
                </c:pt>
                <c:pt idx="2">
                  <c:v>0.21529297786070545</c:v>
                </c:pt>
                <c:pt idx="3">
                  <c:v>0.83330176887239116</c:v>
                </c:pt>
                <c:pt idx="4">
                  <c:v>0.92356633429680679</c:v>
                </c:pt>
                <c:pt idx="5">
                  <c:v>0.65436699082068528</c:v>
                </c:pt>
              </c:numCache>
            </c:numRef>
          </c:val>
        </c:ser>
        <c:ser>
          <c:idx val="2"/>
          <c:order val="2"/>
          <c:tx>
            <c:strRef>
              <c:f>'12i'!$B$26</c:f>
              <c:strCache>
                <c:ptCount val="1"/>
                <c:pt idx="0">
                  <c:v>30-64</c:v>
                </c:pt>
              </c:strCache>
            </c:strRef>
          </c:tx>
          <c:invertIfNegative val="0"/>
          <c:dLbls>
            <c:dLbl>
              <c:idx val="3"/>
              <c:layout>
                <c:manualLayout>
                  <c:x val="-2.4600246002460025E-3"/>
                  <c:y val="-5.1446945337620578E-2"/>
                </c:manualLayout>
              </c:layout>
              <c:showLegendKey val="0"/>
              <c:showVal val="1"/>
              <c:showCatName val="0"/>
              <c:showSerName val="0"/>
              <c:showPercent val="0"/>
              <c:showBubbleSize val="0"/>
            </c:dLbl>
            <c:dLbl>
              <c:idx val="5"/>
              <c:layout>
                <c:manualLayout>
                  <c:x val="4.9200492004920051E-3"/>
                  <c:y val="-6.430868167202571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multiLvlStrRef>
              <c:f>'12i'!$C$22:$H$23</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'12i'!$C$26:$H$26</c:f>
              <c:numCache>
                <c:formatCode>#,##0.00</c:formatCode>
                <c:ptCount val="6"/>
                <c:pt idx="0">
                  <c:v>45.070894005690647</c:v>
                </c:pt>
                <c:pt idx="1">
                  <c:v>21.9435736677116</c:v>
                </c:pt>
                <c:pt idx="2">
                  <c:v>49.790490630986895</c:v>
                </c:pt>
                <c:pt idx="3">
                  <c:v>26.464309116658562</c:v>
                </c:pt>
                <c:pt idx="4">
                  <c:v>54.479617092173314</c:v>
                </c:pt>
                <c:pt idx="5">
                  <c:v>33.537543198240655</c:v>
                </c:pt>
              </c:numCache>
            </c:numRef>
          </c:val>
        </c:ser>
        <c:dLbls>
          <c:showLegendKey val="0"/>
          <c:showVal val="0"/>
          <c:showCatName val="0"/>
          <c:showSerName val="0"/>
          <c:showPercent val="0"/>
          <c:showBubbleSize val="0"/>
        </c:dLbls>
        <c:gapWidth val="150"/>
        <c:axId val="114515968"/>
        <c:axId val="114517504"/>
      </c:barChart>
      <c:catAx>
        <c:axId val="114515968"/>
        <c:scaling>
          <c:orientation val="minMax"/>
        </c:scaling>
        <c:delete val="0"/>
        <c:axPos val="b"/>
        <c:numFmt formatCode="General" sourceLinked="1"/>
        <c:majorTickMark val="none"/>
        <c:minorTickMark val="none"/>
        <c:tickLblPos val="nextTo"/>
        <c:crossAx val="114517504"/>
        <c:crosses val="autoZero"/>
        <c:auto val="1"/>
        <c:lblAlgn val="ctr"/>
        <c:lblOffset val="100"/>
        <c:noMultiLvlLbl val="0"/>
      </c:catAx>
      <c:valAx>
        <c:axId val="114517504"/>
        <c:scaling>
          <c:orientation val="minMax"/>
        </c:scaling>
        <c:delete val="0"/>
        <c:axPos val="l"/>
        <c:majorGridlines/>
        <c:numFmt formatCode="#,##0" sourceLinked="0"/>
        <c:majorTickMark val="none"/>
        <c:minorTickMark val="none"/>
        <c:tickLblPos val="nextTo"/>
        <c:crossAx val="114515968"/>
        <c:crosses val="autoZero"/>
        <c:crossBetween val="between"/>
      </c:valAx>
    </c:plotArea>
    <c:legend>
      <c:legendPos val="r"/>
      <c:overlay val="0"/>
    </c:legend>
    <c:plotVisOnly val="1"/>
    <c:dispBlanksAs val="gap"/>
    <c:showDLblsOverMax val="0"/>
  </c:chart>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Diabete</a:t>
            </a:r>
          </a:p>
        </c:rich>
      </c:tx>
      <c:overlay val="0"/>
    </c:title>
    <c:autoTitleDeleted val="0"/>
    <c:plotArea>
      <c:layout/>
      <c:barChart>
        <c:barDir val="col"/>
        <c:grouping val="clustered"/>
        <c:varyColors val="0"/>
        <c:ser>
          <c:idx val="0"/>
          <c:order val="0"/>
          <c:tx>
            <c:strRef>
              <c:f>'06'!$B$23</c:f>
              <c:strCache>
                <c:ptCount val="1"/>
                <c:pt idx="0">
                  <c:v>00-14</c:v>
                </c:pt>
              </c:strCache>
            </c:strRef>
          </c:tx>
          <c:invertIfNegative val="0"/>
          <c:dLbls>
            <c:numFmt formatCode="#,##0.00" sourceLinked="0"/>
            <c:showLegendKey val="0"/>
            <c:showVal val="1"/>
            <c:showCatName val="0"/>
            <c:showSerName val="0"/>
            <c:showPercent val="0"/>
            <c:showBubbleSize val="0"/>
            <c:showLeaderLines val="0"/>
          </c:dLbls>
          <c:cat>
            <c:multiLvlStrRef>
              <c:f>'06'!$C$21:$H$22</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'06'!$C$23:$H$23</c:f>
              <c:numCache>
                <c:formatCode>#,##0.0</c:formatCode>
                <c:ptCount val="6"/>
                <c:pt idx="0">
                  <c:v>1.1924026914232178</c:v>
                </c:pt>
                <c:pt idx="1">
                  <c:v>1.0198405340255887</c:v>
                </c:pt>
                <c:pt idx="2">
                  <c:v>1.5234032829340749</c:v>
                </c:pt>
                <c:pt idx="3">
                  <c:v>1.4952028907255888</c:v>
                </c:pt>
                <c:pt idx="4">
                  <c:v>1.6355458634319204</c:v>
                </c:pt>
                <c:pt idx="5">
                  <c:v>1.2825210699890071</c:v>
                </c:pt>
              </c:numCache>
            </c:numRef>
          </c:val>
        </c:ser>
        <c:ser>
          <c:idx val="1"/>
          <c:order val="1"/>
          <c:tx>
            <c:strRef>
              <c:f>'06'!$B$24</c:f>
              <c:strCache>
                <c:ptCount val="1"/>
                <c:pt idx="0">
                  <c:v>15-29</c:v>
                </c:pt>
              </c:strCache>
            </c:strRef>
          </c:tx>
          <c:invertIfNegative val="0"/>
          <c:dLbls>
            <c:dLbl>
              <c:idx val="0"/>
              <c:layout>
                <c:manualLayout>
                  <c:x val="0"/>
                  <c:y val="-3.111111111111111E-2"/>
                </c:manualLayout>
              </c:layout>
              <c:showLegendKey val="0"/>
              <c:showVal val="1"/>
              <c:showCatName val="0"/>
              <c:showSerName val="0"/>
              <c:showPercent val="0"/>
              <c:showBubbleSize val="0"/>
            </c:dLbl>
            <c:dLbl>
              <c:idx val="2"/>
              <c:layout>
                <c:manualLayout>
                  <c:x val="-4.4606135152186835E-17"/>
                  <c:y val="-3.9999999999999918E-2"/>
                </c:manualLayout>
              </c:layout>
              <c:showLegendKey val="0"/>
              <c:showVal val="1"/>
              <c:showCatName val="0"/>
              <c:showSerName val="0"/>
              <c:showPercent val="0"/>
              <c:showBubbleSize val="0"/>
            </c:dLbl>
            <c:dLbl>
              <c:idx val="4"/>
              <c:layout>
                <c:manualLayout>
                  <c:x val="-2.4330900243309003E-3"/>
                  <c:y val="-4.8888888888888891E-2"/>
                </c:manualLayout>
              </c:layout>
              <c:showLegendKey val="0"/>
              <c:showVal val="1"/>
              <c:showCatName val="0"/>
              <c:showSerName val="0"/>
              <c:showPercent val="0"/>
              <c:showBubbleSize val="0"/>
            </c:dLbl>
            <c:numFmt formatCode="#,##0.00" sourceLinked="0"/>
            <c:showLegendKey val="0"/>
            <c:showVal val="1"/>
            <c:showCatName val="0"/>
            <c:showSerName val="0"/>
            <c:showPercent val="0"/>
            <c:showBubbleSize val="0"/>
            <c:showLeaderLines val="0"/>
          </c:dLbls>
          <c:cat>
            <c:multiLvlStrRef>
              <c:f>'06'!$C$21:$H$22</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'06'!$C$24:$H$24</c:f>
              <c:numCache>
                <c:formatCode>#,##0.0</c:formatCode>
                <c:ptCount val="6"/>
                <c:pt idx="0">
                  <c:v>3.6918946131901325</c:v>
                </c:pt>
                <c:pt idx="1">
                  <c:v>4.8670258995306792</c:v>
                </c:pt>
                <c:pt idx="2">
                  <c:v>2.9423373640963075</c:v>
                </c:pt>
                <c:pt idx="3">
                  <c:v>6.2876406196734971</c:v>
                </c:pt>
                <c:pt idx="4">
                  <c:v>3.5574406950691824</c:v>
                </c:pt>
                <c:pt idx="5">
                  <c:v>7.7433427247114421</c:v>
                </c:pt>
              </c:numCache>
            </c:numRef>
          </c:val>
        </c:ser>
        <c:ser>
          <c:idx val="2"/>
          <c:order val="2"/>
          <c:tx>
            <c:strRef>
              <c:f>'06'!$B$25</c:f>
              <c:strCache>
                <c:ptCount val="1"/>
                <c:pt idx="0">
                  <c:v>30-64</c:v>
                </c:pt>
              </c:strCache>
            </c:strRef>
          </c:tx>
          <c:invertIfNegative val="0"/>
          <c:dLbls>
            <c:numFmt formatCode="#,##0.00" sourceLinked="0"/>
            <c:showLegendKey val="0"/>
            <c:showVal val="1"/>
            <c:showCatName val="0"/>
            <c:showSerName val="0"/>
            <c:showPercent val="0"/>
            <c:showBubbleSize val="0"/>
            <c:showLeaderLines val="0"/>
          </c:dLbls>
          <c:cat>
            <c:multiLvlStrRef>
              <c:f>'06'!$C$21:$H$22</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'06'!$C$25:$H$25</c:f>
              <c:numCache>
                <c:formatCode>#,##0.0</c:formatCode>
                <c:ptCount val="6"/>
                <c:pt idx="0">
                  <c:v>41.699543313487794</c:v>
                </c:pt>
                <c:pt idx="1">
                  <c:v>28.849921630094045</c:v>
                </c:pt>
                <c:pt idx="2">
                  <c:v>43.356657685254433</c:v>
                </c:pt>
                <c:pt idx="3">
                  <c:v>32.108055549683989</c:v>
                </c:pt>
                <c:pt idx="4">
                  <c:v>47.04488766046785</c:v>
                </c:pt>
                <c:pt idx="5">
                  <c:v>34.391690229343389</c:v>
                </c:pt>
              </c:numCache>
            </c:numRef>
          </c:val>
        </c:ser>
        <c:dLbls>
          <c:showLegendKey val="0"/>
          <c:showVal val="0"/>
          <c:showCatName val="0"/>
          <c:showSerName val="0"/>
          <c:showPercent val="0"/>
          <c:showBubbleSize val="0"/>
        </c:dLbls>
        <c:gapWidth val="150"/>
        <c:axId val="114139520"/>
        <c:axId val="114141056"/>
      </c:barChart>
      <c:catAx>
        <c:axId val="114139520"/>
        <c:scaling>
          <c:orientation val="minMax"/>
        </c:scaling>
        <c:delete val="0"/>
        <c:axPos val="b"/>
        <c:numFmt formatCode="General" sourceLinked="1"/>
        <c:majorTickMark val="none"/>
        <c:minorTickMark val="none"/>
        <c:tickLblPos val="nextTo"/>
        <c:crossAx val="114141056"/>
        <c:crosses val="autoZero"/>
        <c:auto val="1"/>
        <c:lblAlgn val="ctr"/>
        <c:lblOffset val="100"/>
        <c:noMultiLvlLbl val="0"/>
      </c:catAx>
      <c:valAx>
        <c:axId val="114141056"/>
        <c:scaling>
          <c:orientation val="minMax"/>
        </c:scaling>
        <c:delete val="0"/>
        <c:axPos val="l"/>
        <c:majorGridlines/>
        <c:numFmt formatCode="#,##0" sourceLinked="0"/>
        <c:majorTickMark val="none"/>
        <c:minorTickMark val="none"/>
        <c:tickLblPos val="nextTo"/>
        <c:crossAx val="114139520"/>
        <c:crosses val="autoZero"/>
        <c:crossBetween val="between"/>
        <c:majorUnit val="10"/>
      </c:valAx>
    </c:plotArea>
    <c:legend>
      <c:legendPos val="r"/>
      <c:overlay val="0"/>
    </c:legend>
    <c:plotVisOnly val="1"/>
    <c:dispBlanksAs val="gap"/>
    <c:showDLblsOverMax val="0"/>
  </c:chart>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Mortalità Respiratorio</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Word]mortalita 2007-2015 x100000'!$Q$8</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'[Grafico in Microsoft Word]mortalita 2007-2015 x100000'!$P$9:$P$11</c:f>
              <c:strCache>
                <c:ptCount val="3"/>
                <c:pt idx="0">
                  <c:v>MANTOVA</c:v>
                </c:pt>
                <c:pt idx="1">
                  <c:v>CREMONA</c:v>
                </c:pt>
                <c:pt idx="2">
                  <c:v>CREMA</c:v>
                </c:pt>
              </c:strCache>
            </c:strRef>
          </c:cat>
          <c:val>
            <c:numRef>
              <c:f>'[Grafico in Microsoft Word]mortalita 2007-2015 x100000'!$Q$9:$Q$11</c:f>
              <c:numCache>
                <c:formatCode>0.0</c:formatCode>
                <c:ptCount val="3"/>
                <c:pt idx="0">
                  <c:v>39.119999999999997</c:v>
                </c:pt>
                <c:pt idx="1">
                  <c:v>43.85</c:v>
                </c:pt>
                <c:pt idx="2">
                  <c:v>51.3</c:v>
                </c:pt>
              </c:numCache>
            </c:numRef>
          </c:val>
        </c:ser>
        <c:ser>
          <c:idx val="1"/>
          <c:order val="1"/>
          <c:tx>
            <c:strRef>
              <c:f>'[Grafico in Microsoft Word]mortalita 2007-2015 x100000'!$R$8</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'[Grafico in Microsoft Word]mortalita 2007-2015 x100000'!$P$9:$P$11</c:f>
              <c:strCache>
                <c:ptCount val="3"/>
                <c:pt idx="0">
                  <c:v>MANTOVA</c:v>
                </c:pt>
                <c:pt idx="1">
                  <c:v>CREMONA</c:v>
                </c:pt>
                <c:pt idx="2">
                  <c:v>CREMA</c:v>
                </c:pt>
              </c:strCache>
            </c:strRef>
          </c:cat>
          <c:val>
            <c:numRef>
              <c:f>'[Grafico in Microsoft Word]mortalita 2007-2015 x100000'!$R$9:$R$11</c:f>
              <c:numCache>
                <c:formatCode>0.0</c:formatCode>
                <c:ptCount val="3"/>
                <c:pt idx="0">
                  <c:v>81.510000000000005</c:v>
                </c:pt>
                <c:pt idx="1">
                  <c:v>100.02</c:v>
                </c:pt>
                <c:pt idx="2">
                  <c:v>107.5</c:v>
                </c:pt>
              </c:numCache>
            </c:numRef>
          </c:val>
        </c:ser>
        <c:dLbls>
          <c:showLegendKey val="0"/>
          <c:showVal val="0"/>
          <c:showCatName val="0"/>
          <c:showSerName val="0"/>
          <c:showPercent val="0"/>
          <c:showBubbleSize val="0"/>
        </c:dLbls>
        <c:gapWidth val="150"/>
        <c:shape val="box"/>
        <c:axId val="114643328"/>
        <c:axId val="114644864"/>
        <c:axId val="0"/>
      </c:bar3DChart>
      <c:catAx>
        <c:axId val="114643328"/>
        <c:scaling>
          <c:orientation val="minMax"/>
        </c:scaling>
        <c:delete val="0"/>
        <c:axPos val="l"/>
        <c:numFmt formatCode="General" sourceLinked="0"/>
        <c:majorTickMark val="none"/>
        <c:minorTickMark val="none"/>
        <c:tickLblPos val="nextTo"/>
        <c:txPr>
          <a:bodyPr/>
          <a:lstStyle/>
          <a:p>
            <a:pPr>
              <a:defRPr sz="800" b="1"/>
            </a:pPr>
            <a:endParaRPr lang="it-IT"/>
          </a:p>
        </c:txPr>
        <c:crossAx val="114644864"/>
        <c:crosses val="autoZero"/>
        <c:auto val="1"/>
        <c:lblAlgn val="ctr"/>
        <c:lblOffset val="100"/>
        <c:noMultiLvlLbl val="0"/>
      </c:catAx>
      <c:valAx>
        <c:axId val="11464486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14643328"/>
        <c:crosses val="autoZero"/>
        <c:crossBetween val="between"/>
      </c:valAx>
    </c:plotArea>
    <c:plotVisOnly val="1"/>
    <c:dispBlanksAs val="gap"/>
    <c:showDLblsOverMax val="0"/>
  </c:chart>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Prevalenza Broncopatie</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Word]grafici_BDA'!$L$34</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Word]grafici_BDA'!$K$35:$K$37</c:f>
              <c:strCache>
                <c:ptCount val="3"/>
                <c:pt idx="0">
                  <c:v>MANTOVA</c:v>
                </c:pt>
                <c:pt idx="1">
                  <c:v>CREMONA</c:v>
                </c:pt>
                <c:pt idx="2">
                  <c:v>CREMA</c:v>
                </c:pt>
              </c:strCache>
            </c:strRef>
          </c:cat>
          <c:val>
            <c:numRef>
              <c:f>'[Grafico in Microsoft Word]grafici_BDA'!$L$35:$L$37</c:f>
              <c:numCache>
                <c:formatCode>0.0</c:formatCode>
                <c:ptCount val="3"/>
                <c:pt idx="0">
                  <c:v>35.81</c:v>
                </c:pt>
                <c:pt idx="1">
                  <c:v>31.91</c:v>
                </c:pt>
                <c:pt idx="2">
                  <c:v>27.05</c:v>
                </c:pt>
              </c:numCache>
            </c:numRef>
          </c:val>
        </c:ser>
        <c:ser>
          <c:idx val="1"/>
          <c:order val="1"/>
          <c:tx>
            <c:strRef>
              <c:f>'[Grafico in Microsoft Word]grafici_BDA'!$M$34</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Word]grafici_BDA'!$K$35:$K$37</c:f>
              <c:strCache>
                <c:ptCount val="3"/>
                <c:pt idx="0">
                  <c:v>MANTOVA</c:v>
                </c:pt>
                <c:pt idx="1">
                  <c:v>CREMONA</c:v>
                </c:pt>
                <c:pt idx="2">
                  <c:v>CREMA</c:v>
                </c:pt>
              </c:strCache>
            </c:strRef>
          </c:cat>
          <c:val>
            <c:numRef>
              <c:f>'[Grafico in Microsoft Word]grafici_BDA'!$M$35:$M$37</c:f>
              <c:numCache>
                <c:formatCode>0.0</c:formatCode>
                <c:ptCount val="3"/>
                <c:pt idx="0">
                  <c:v>43.07</c:v>
                </c:pt>
                <c:pt idx="1">
                  <c:v>39.31</c:v>
                </c:pt>
                <c:pt idx="2">
                  <c:v>32.83</c:v>
                </c:pt>
              </c:numCache>
            </c:numRef>
          </c:val>
        </c:ser>
        <c:dLbls>
          <c:showLegendKey val="0"/>
          <c:showVal val="0"/>
          <c:showCatName val="0"/>
          <c:showSerName val="0"/>
          <c:showPercent val="0"/>
          <c:showBubbleSize val="0"/>
        </c:dLbls>
        <c:gapWidth val="150"/>
        <c:shape val="box"/>
        <c:axId val="116026752"/>
        <c:axId val="116032640"/>
        <c:axId val="0"/>
      </c:bar3DChart>
      <c:catAx>
        <c:axId val="116026752"/>
        <c:scaling>
          <c:orientation val="minMax"/>
        </c:scaling>
        <c:delete val="0"/>
        <c:axPos val="l"/>
        <c:majorTickMark val="none"/>
        <c:minorTickMark val="none"/>
        <c:tickLblPos val="nextTo"/>
        <c:txPr>
          <a:bodyPr/>
          <a:lstStyle/>
          <a:p>
            <a:pPr>
              <a:defRPr sz="800" b="1"/>
            </a:pPr>
            <a:endParaRPr lang="it-IT"/>
          </a:p>
        </c:txPr>
        <c:crossAx val="116032640"/>
        <c:crosses val="autoZero"/>
        <c:auto val="1"/>
        <c:lblAlgn val="ctr"/>
        <c:lblOffset val="100"/>
        <c:noMultiLvlLbl val="0"/>
      </c:catAx>
      <c:valAx>
        <c:axId val="11603264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16026752"/>
        <c:crosses val="autoZero"/>
        <c:crossBetween val="between"/>
        <c:majorUnit val="30"/>
      </c:valAx>
    </c:plotArea>
    <c:plotVisOnly val="1"/>
    <c:dispBlanksAs val="gap"/>
    <c:showDLblsOverMax val="0"/>
  </c:chart>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Prevalenza - Broncopatie 0-14</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Word]nuovo bda con bimbi'!$Q$35</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'[Grafico in Microsoft Word]nuovo bda con bimbi'!$P$36:$P$38</c:f>
              <c:strCache>
                <c:ptCount val="3"/>
                <c:pt idx="0">
                  <c:v>MANTOVA</c:v>
                </c:pt>
                <c:pt idx="1">
                  <c:v>CREMONA</c:v>
                </c:pt>
                <c:pt idx="2">
                  <c:v>CREMA</c:v>
                </c:pt>
              </c:strCache>
            </c:strRef>
          </c:cat>
          <c:val>
            <c:numRef>
              <c:f>'[Grafico in Microsoft Word]nuovo bda con bimbi'!$Q$36:$Q$38</c:f>
              <c:numCache>
                <c:formatCode>0.0</c:formatCode>
                <c:ptCount val="3"/>
                <c:pt idx="0">
                  <c:v>23.87</c:v>
                </c:pt>
                <c:pt idx="1">
                  <c:v>11.56</c:v>
                </c:pt>
                <c:pt idx="2">
                  <c:v>9.9499999999999993</c:v>
                </c:pt>
              </c:numCache>
            </c:numRef>
          </c:val>
        </c:ser>
        <c:ser>
          <c:idx val="1"/>
          <c:order val="1"/>
          <c:tx>
            <c:strRef>
              <c:f>'[Grafico in Microsoft Word]nuovo bda con bimbi'!$R$35</c:f>
              <c:strCache>
                <c:ptCount val="1"/>
                <c:pt idx="0">
                  <c:v>M</c:v>
                </c:pt>
              </c:strCache>
            </c:strRef>
          </c:tx>
          <c:spPr>
            <a:solidFill>
              <a:srgbClr val="0066FF"/>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'[Grafico in Microsoft Word]nuovo bda con bimbi'!$P$36:$P$38</c:f>
              <c:strCache>
                <c:ptCount val="3"/>
                <c:pt idx="0">
                  <c:v>MANTOVA</c:v>
                </c:pt>
                <c:pt idx="1">
                  <c:v>CREMONA</c:v>
                </c:pt>
                <c:pt idx="2">
                  <c:v>CREMA</c:v>
                </c:pt>
              </c:strCache>
            </c:strRef>
          </c:cat>
          <c:val>
            <c:numRef>
              <c:f>'[Grafico in Microsoft Word]nuovo bda con bimbi'!$R$36:$R$38</c:f>
              <c:numCache>
                <c:formatCode>0.0</c:formatCode>
                <c:ptCount val="3"/>
                <c:pt idx="0">
                  <c:v>36.28</c:v>
                </c:pt>
                <c:pt idx="1">
                  <c:v>22.35</c:v>
                </c:pt>
                <c:pt idx="2">
                  <c:v>20.65</c:v>
                </c:pt>
              </c:numCache>
            </c:numRef>
          </c:val>
        </c:ser>
        <c:dLbls>
          <c:showLegendKey val="0"/>
          <c:showVal val="0"/>
          <c:showCatName val="0"/>
          <c:showSerName val="0"/>
          <c:showPercent val="0"/>
          <c:showBubbleSize val="0"/>
        </c:dLbls>
        <c:gapWidth val="150"/>
        <c:shape val="box"/>
        <c:axId val="115739264"/>
        <c:axId val="115761536"/>
        <c:axId val="0"/>
      </c:bar3DChart>
      <c:catAx>
        <c:axId val="115739264"/>
        <c:scaling>
          <c:orientation val="minMax"/>
        </c:scaling>
        <c:delete val="0"/>
        <c:axPos val="l"/>
        <c:numFmt formatCode="General" sourceLinked="0"/>
        <c:majorTickMark val="none"/>
        <c:minorTickMark val="none"/>
        <c:tickLblPos val="nextTo"/>
        <c:txPr>
          <a:bodyPr/>
          <a:lstStyle/>
          <a:p>
            <a:pPr>
              <a:defRPr sz="800" b="1"/>
            </a:pPr>
            <a:endParaRPr lang="it-IT"/>
          </a:p>
        </c:txPr>
        <c:crossAx val="115761536"/>
        <c:crosses val="autoZero"/>
        <c:auto val="1"/>
        <c:lblAlgn val="ctr"/>
        <c:lblOffset val="100"/>
        <c:noMultiLvlLbl val="0"/>
      </c:catAx>
      <c:valAx>
        <c:axId val="11576153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15739264"/>
        <c:crosses val="autoZero"/>
        <c:crossBetween val="between"/>
      </c:valAx>
    </c:plotArea>
    <c:plotVisOnly val="1"/>
    <c:dispBlanksAs val="gap"/>
    <c:showDLblsOverMax val="0"/>
  </c:chart>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b="1" i="0" baseline="0">
                <a:effectLst/>
              </a:rPr>
              <a:t>Mortalità -pat. respiratorie -M</a:t>
            </a:r>
            <a:endParaRPr lang="it-IT" sz="1400">
              <a:effectLst/>
            </a:endParaRPr>
          </a:p>
        </c:rich>
      </c:tx>
      <c:layout>
        <c:manualLayout>
          <c:xMode val="edge"/>
          <c:yMode val="edge"/>
          <c:x val="0.21169834063200615"/>
          <c:y val="2.4922121873381043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RESPIRATORIO!$B$3</c:f>
              <c:strCache>
                <c:ptCount val="1"/>
                <c:pt idx="0">
                  <c:v>MASCHI</c:v>
                </c:pt>
              </c:strCache>
            </c:strRef>
          </c:tx>
          <c:dLbls>
            <c:numFmt formatCode="0.0%" sourceLinked="0"/>
            <c:txPr>
              <a:bodyPr/>
              <a:lstStyle/>
              <a:p>
                <a:pPr>
                  <a:defRPr b="1"/>
                </a:pPr>
                <a:endParaRPr lang="it-IT"/>
              </a:p>
            </c:txPr>
            <c:showLegendKey val="0"/>
            <c:showVal val="0"/>
            <c:showCatName val="0"/>
            <c:showSerName val="0"/>
            <c:showPercent val="1"/>
            <c:showBubbleSize val="0"/>
            <c:showLeaderLines val="1"/>
          </c:dLbls>
          <c:cat>
            <c:strRef>
              <c:f>RESPIRATORIO!$A$5:$A$9</c:f>
              <c:strCache>
                <c:ptCount val="5"/>
                <c:pt idx="0">
                  <c:v>00-14</c:v>
                </c:pt>
                <c:pt idx="1">
                  <c:v>15-29</c:v>
                </c:pt>
                <c:pt idx="2">
                  <c:v>30-64</c:v>
                </c:pt>
                <c:pt idx="3">
                  <c:v>65-74</c:v>
                </c:pt>
                <c:pt idx="4">
                  <c:v>75+</c:v>
                </c:pt>
              </c:strCache>
            </c:strRef>
          </c:cat>
          <c:val>
            <c:numRef>
              <c:f>RESPIRATORIO!$C$5:$C$9</c:f>
              <c:numCache>
                <c:formatCode>General</c:formatCode>
                <c:ptCount val="5"/>
                <c:pt idx="0">
                  <c:v>8.8105726872246704E-3</c:v>
                </c:pt>
                <c:pt idx="1">
                  <c:v>0</c:v>
                </c:pt>
                <c:pt idx="2">
                  <c:v>5.2863436123348019E-2</c:v>
                </c:pt>
                <c:pt idx="3">
                  <c:v>0.11894273127753303</c:v>
                </c:pt>
                <c:pt idx="4">
                  <c:v>0.81938325991189431</c:v>
                </c:pt>
              </c:numCache>
            </c:numRef>
          </c:val>
        </c:ser>
        <c:dLbls>
          <c:showLegendKey val="0"/>
          <c:showVal val="0"/>
          <c:showCatName val="0"/>
          <c:showSerName val="0"/>
          <c:showPercent val="1"/>
          <c:showBubbleSize val="0"/>
          <c:showLeaderLines val="1"/>
        </c:dLbls>
      </c:pie3DChart>
    </c:plotArea>
    <c:legend>
      <c:legendPos val="b"/>
      <c:overlay val="0"/>
      <c:txPr>
        <a:bodyPr/>
        <a:lstStyle/>
        <a:p>
          <a:pPr>
            <a:defRPr sz="900"/>
          </a:pPr>
          <a:endParaRPr lang="it-IT"/>
        </a:p>
      </c:txPr>
    </c:legend>
    <c:plotVisOnly val="1"/>
    <c:dispBlanksAs val="gap"/>
    <c:showDLblsOverMax val="0"/>
  </c:chart>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400"/>
            </a:pPr>
            <a:r>
              <a:rPr lang="en-US" sz="1400" b="1" i="0" baseline="0">
                <a:effectLst/>
              </a:rPr>
              <a:t>Mortalità -pat. respiratorie -F</a:t>
            </a:r>
            <a:endParaRPr lang="it-IT" sz="1400">
              <a:effectLst/>
            </a:endParaRP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RESPIRATORIO!$D$3</c:f>
              <c:strCache>
                <c:ptCount val="1"/>
                <c:pt idx="0">
                  <c:v>FEMMINE</c:v>
                </c:pt>
              </c:strCache>
            </c:strRef>
          </c:tx>
          <c:dLbls>
            <c:dLbl>
              <c:idx val="0"/>
              <c:layout>
                <c:manualLayout>
                  <c:x val="-1.7064746172914928E-2"/>
                  <c:y val="-5.1146561417896717E-2"/>
                </c:manualLayout>
              </c:layout>
              <c:showLegendKey val="0"/>
              <c:showVal val="0"/>
              <c:showCatName val="0"/>
              <c:showSerName val="0"/>
              <c:showPercent val="1"/>
              <c:showBubbleSize val="0"/>
            </c:dLbl>
            <c:dLbl>
              <c:idx val="1"/>
              <c:layout>
                <c:manualLayout>
                  <c:x val="6.6665433487172479E-2"/>
                  <c:y val="-4.3968453629282381E-2"/>
                </c:manualLayout>
              </c:layout>
              <c:showLegendKey val="0"/>
              <c:showVal val="0"/>
              <c:showCatName val="0"/>
              <c:showSerName val="0"/>
              <c:showPercent val="1"/>
              <c:showBubbleSize val="0"/>
            </c:dLbl>
            <c:dLbl>
              <c:idx val="2"/>
              <c:layout>
                <c:manualLayout>
                  <c:x val="-0.14081518330588258"/>
                  <c:y val="-5.5292342569824758E-2"/>
                </c:manualLayout>
              </c:layout>
              <c:showLegendKey val="0"/>
              <c:showVal val="0"/>
              <c:showCatName val="0"/>
              <c:showSerName val="0"/>
              <c:showPercent val="1"/>
              <c:showBubbleSize val="0"/>
            </c:dLbl>
            <c:dLbl>
              <c:idx val="3"/>
              <c:layout>
                <c:manualLayout>
                  <c:x val="0.11493203722835577"/>
                  <c:y val="-3.7347073098288927E-2"/>
                </c:manualLayout>
              </c:layout>
              <c:showLegendKey val="0"/>
              <c:showVal val="0"/>
              <c:showCatName val="0"/>
              <c:showSerName val="0"/>
              <c:showPercent val="1"/>
              <c:showBubbleSize val="0"/>
            </c:dLbl>
            <c:numFmt formatCode="0.0%" sourceLinked="0"/>
            <c:txPr>
              <a:bodyPr/>
              <a:lstStyle/>
              <a:p>
                <a:pPr>
                  <a:defRPr b="1"/>
                </a:pPr>
                <a:endParaRPr lang="it-IT"/>
              </a:p>
            </c:txPr>
            <c:showLegendKey val="0"/>
            <c:showVal val="0"/>
            <c:showCatName val="0"/>
            <c:showSerName val="0"/>
            <c:showPercent val="1"/>
            <c:showBubbleSize val="0"/>
            <c:showLeaderLines val="1"/>
          </c:dLbls>
          <c:cat>
            <c:strRef>
              <c:f>RESPIRATORIO!$A$5:$A$9</c:f>
              <c:strCache>
                <c:ptCount val="5"/>
                <c:pt idx="0">
                  <c:v>00-14</c:v>
                </c:pt>
                <c:pt idx="1">
                  <c:v>15-29</c:v>
                </c:pt>
                <c:pt idx="2">
                  <c:v>30-64</c:v>
                </c:pt>
                <c:pt idx="3">
                  <c:v>65-74</c:v>
                </c:pt>
                <c:pt idx="4">
                  <c:v>75+</c:v>
                </c:pt>
              </c:strCache>
            </c:strRef>
          </c:cat>
          <c:val>
            <c:numRef>
              <c:f>RESPIRATORIO!$E$5:$E$9</c:f>
              <c:numCache>
                <c:formatCode>General</c:formatCode>
                <c:ptCount val="5"/>
                <c:pt idx="0">
                  <c:v>0</c:v>
                </c:pt>
                <c:pt idx="1">
                  <c:v>0</c:v>
                </c:pt>
                <c:pt idx="2">
                  <c:v>3.1620553359683792E-2</c:v>
                </c:pt>
                <c:pt idx="3">
                  <c:v>5.533596837944664E-2</c:v>
                </c:pt>
                <c:pt idx="4">
                  <c:v>0.91304347826086951</c:v>
                </c:pt>
              </c:numCache>
            </c:numRef>
          </c:val>
        </c:ser>
        <c:dLbls>
          <c:showLegendKey val="0"/>
          <c:showVal val="0"/>
          <c:showCatName val="0"/>
          <c:showSerName val="0"/>
          <c:showPercent val="1"/>
          <c:showBubbleSize val="0"/>
          <c:showLeaderLines val="1"/>
        </c:dLbls>
      </c:pie3DChart>
    </c:plotArea>
    <c:legend>
      <c:legendPos val="b"/>
      <c:overlay val="0"/>
      <c:txPr>
        <a:bodyPr/>
        <a:lstStyle/>
        <a:p>
          <a:pPr>
            <a:defRPr sz="900"/>
          </a:pPr>
          <a:endParaRPr lang="it-IT"/>
        </a:p>
      </c:txPr>
    </c:legend>
    <c:plotVisOnly val="1"/>
    <c:dispBlanksAs val="gap"/>
    <c:showDLblsOverMax val="0"/>
  </c:chart>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Mortalità -pat. respiratorie -M</a:t>
            </a:r>
          </a:p>
        </c:rich>
      </c:tx>
      <c:overlay val="0"/>
    </c:title>
    <c:autoTitleDeleted val="0"/>
    <c:plotArea>
      <c:layout/>
      <c:lineChart>
        <c:grouping val="standard"/>
        <c:varyColors val="0"/>
        <c:ser>
          <c:idx val="0"/>
          <c:order val="0"/>
          <c:tx>
            <c:strRef>
              <c:f>respiratorio!$B$3</c:f>
              <c:strCache>
                <c:ptCount val="1"/>
                <c:pt idx="0">
                  <c:v>ATS</c:v>
                </c:pt>
              </c:strCache>
            </c:strRef>
          </c:tx>
          <c:spPr>
            <a:ln>
              <a:solidFill>
                <a:schemeClr val="accent1"/>
              </a:solidFill>
            </a:ln>
          </c:spPr>
          <c:marker>
            <c:symbol val="none"/>
          </c:marker>
          <c:cat>
            <c:numRef>
              <c:f>respiratorio!$A$4:$A$12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respiratorio!$B$4:$B$12</c:f>
              <c:numCache>
                <c:formatCode>0.00</c:formatCode>
                <c:ptCount val="9"/>
                <c:pt idx="0">
                  <c:v>8.4365849317927104</c:v>
                </c:pt>
                <c:pt idx="1">
                  <c:v>8.5244363323525594</c:v>
                </c:pt>
                <c:pt idx="2">
                  <c:v>8.5661325103036816</c:v>
                </c:pt>
                <c:pt idx="3">
                  <c:v>6.3850070550176534</c:v>
                </c:pt>
                <c:pt idx="4">
                  <c:v>6.7424643261101558</c:v>
                </c:pt>
                <c:pt idx="5">
                  <c:v>7.8392448277722169</c:v>
                </c:pt>
                <c:pt idx="6">
                  <c:v>5.9231815937266319</c:v>
                </c:pt>
                <c:pt idx="7">
                  <c:v>6.1337801870929303</c:v>
                </c:pt>
                <c:pt idx="8">
                  <c:v>5.699807877638138</c:v>
                </c:pt>
              </c:numCache>
            </c:numRef>
          </c:val>
          <c:smooth val="0"/>
        </c:ser>
        <c:ser>
          <c:idx val="1"/>
          <c:order val="1"/>
          <c:tx>
            <c:strRef>
              <c:f>respiratorio!$C$3</c:f>
              <c:strCache>
                <c:ptCount val="1"/>
                <c:pt idx="0">
                  <c:v>Lombardia</c:v>
                </c:pt>
              </c:strCache>
            </c:strRef>
          </c:tx>
          <c:marker>
            <c:symbol val="none"/>
          </c:marker>
          <c:cat>
            <c:numRef>
              <c:f>respiratorio!$A$4:$A$12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respiratorio!$C$4:$C$12</c:f>
              <c:numCache>
                <c:formatCode>General</c:formatCode>
                <c:ptCount val="9"/>
                <c:pt idx="0">
                  <c:v>8.92</c:v>
                </c:pt>
                <c:pt idx="1">
                  <c:v>8.4499999999999993</c:v>
                </c:pt>
                <c:pt idx="2">
                  <c:v>8.2899999999999991</c:v>
                </c:pt>
                <c:pt idx="3">
                  <c:v>8</c:v>
                </c:pt>
                <c:pt idx="4">
                  <c:v>7.83</c:v>
                </c:pt>
                <c:pt idx="5">
                  <c:v>8.48</c:v>
                </c:pt>
                <c:pt idx="6">
                  <c:v>7.66</c:v>
                </c:pt>
                <c:pt idx="7">
                  <c:v>7.31</c:v>
                </c:pt>
              </c:numCache>
            </c:numRef>
          </c:val>
          <c:smooth val="0"/>
        </c:ser>
        <c:ser>
          <c:idx val="2"/>
          <c:order val="2"/>
          <c:tx>
            <c:strRef>
              <c:f>respiratorio!$D$3</c:f>
              <c:strCache>
                <c:ptCount val="1"/>
                <c:pt idx="0">
                  <c:v>Italia</c:v>
                </c:pt>
              </c:strCache>
            </c:strRef>
          </c:tx>
          <c:marker>
            <c:symbol val="none"/>
          </c:marker>
          <c:cat>
            <c:numRef>
              <c:f>respiratorio!$A$4:$A$12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respiratorio!$D$4:$D$12</c:f>
              <c:numCache>
                <c:formatCode>General</c:formatCode>
                <c:ptCount val="9"/>
                <c:pt idx="0">
                  <c:v>8.91</c:v>
                </c:pt>
                <c:pt idx="1">
                  <c:v>8.48</c:v>
                </c:pt>
                <c:pt idx="2">
                  <c:v>8.64</c:v>
                </c:pt>
                <c:pt idx="3">
                  <c:v>8.14</c:v>
                </c:pt>
                <c:pt idx="4">
                  <c:v>8.2100000000000009</c:v>
                </c:pt>
                <c:pt idx="5">
                  <c:v>8.44</c:v>
                </c:pt>
                <c:pt idx="6">
                  <c:v>7.75</c:v>
                </c:pt>
                <c:pt idx="7">
                  <c:v>7.52</c:v>
                </c:pt>
              </c:numCache>
            </c:numRef>
          </c:val>
          <c:smooth val="0"/>
        </c:ser>
        <c:dLbls>
          <c:showLegendKey val="0"/>
          <c:showVal val="0"/>
          <c:showCatName val="0"/>
          <c:showSerName val="0"/>
          <c:showPercent val="0"/>
          <c:showBubbleSize val="0"/>
        </c:dLbls>
        <c:marker val="1"/>
        <c:smooth val="0"/>
        <c:axId val="114064768"/>
        <c:axId val="114074752"/>
      </c:lineChart>
      <c:catAx>
        <c:axId val="114064768"/>
        <c:scaling>
          <c:orientation val="minMax"/>
        </c:scaling>
        <c:delete val="0"/>
        <c:axPos val="b"/>
        <c:numFmt formatCode="General" sourceLinked="1"/>
        <c:majorTickMark val="none"/>
        <c:minorTickMark val="none"/>
        <c:tickLblPos val="nextTo"/>
        <c:txPr>
          <a:bodyPr/>
          <a:lstStyle/>
          <a:p>
            <a:pPr>
              <a:defRPr sz="900"/>
            </a:pPr>
            <a:endParaRPr lang="it-IT"/>
          </a:p>
        </c:txPr>
        <c:crossAx val="114074752"/>
        <c:crosses val="autoZero"/>
        <c:auto val="1"/>
        <c:lblAlgn val="ctr"/>
        <c:lblOffset val="100"/>
        <c:noMultiLvlLbl val="0"/>
      </c:catAx>
      <c:valAx>
        <c:axId val="114074752"/>
        <c:scaling>
          <c:orientation val="minMax"/>
          <c:max val="10"/>
        </c:scaling>
        <c:delete val="0"/>
        <c:axPos val="l"/>
        <c:majorGridlines/>
        <c:numFmt formatCode="0" sourceLinked="0"/>
        <c:majorTickMark val="none"/>
        <c:minorTickMark val="none"/>
        <c:tickLblPos val="nextTo"/>
        <c:spPr>
          <a:ln w="9525">
            <a:noFill/>
          </a:ln>
        </c:spPr>
        <c:crossAx val="114064768"/>
        <c:crosses val="autoZero"/>
        <c:crossBetween val="between"/>
        <c:majorUnit val="2"/>
      </c:valAx>
      <c:spPr>
        <a:ln>
          <a:solidFill>
            <a:schemeClr val="bg1">
              <a:lumMod val="50000"/>
            </a:schemeClr>
          </a:solidFill>
        </a:ln>
      </c:spPr>
    </c:plotArea>
    <c:legend>
      <c:legendPos val="b"/>
      <c:overlay val="0"/>
    </c:legend>
    <c:plotVisOnly val="1"/>
    <c:dispBlanksAs val="gap"/>
    <c:showDLblsOverMax val="0"/>
  </c:chart>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b="1" i="0" baseline="0">
                <a:effectLst/>
              </a:rPr>
              <a:t>Mortalità -pat. respiratorie -F</a:t>
            </a:r>
            <a:endParaRPr lang="it-IT" sz="1400">
              <a:effectLst/>
            </a:endParaRPr>
          </a:p>
        </c:rich>
      </c:tx>
      <c:overlay val="0"/>
    </c:title>
    <c:autoTitleDeleted val="0"/>
    <c:plotArea>
      <c:layout/>
      <c:lineChart>
        <c:grouping val="standard"/>
        <c:varyColors val="0"/>
        <c:ser>
          <c:idx val="0"/>
          <c:order val="0"/>
          <c:tx>
            <c:strRef>
              <c:f>respiratorio!$B$3</c:f>
              <c:strCache>
                <c:ptCount val="1"/>
                <c:pt idx="0">
                  <c:v>ATS</c:v>
                </c:pt>
              </c:strCache>
            </c:strRef>
          </c:tx>
          <c:spPr>
            <a:ln>
              <a:solidFill>
                <a:schemeClr val="accent1"/>
              </a:solidFill>
            </a:ln>
          </c:spPr>
          <c:marker>
            <c:symbol val="none"/>
          </c:marker>
          <c:cat>
            <c:numRef>
              <c:f>respiratorio!$A$4:$A$12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respiratorio!$M$4:$M$12</c:f>
              <c:numCache>
                <c:formatCode>0.00</c:formatCode>
                <c:ptCount val="9"/>
                <c:pt idx="0">
                  <c:v>4.2400031025760576</c:v>
                </c:pt>
                <c:pt idx="1">
                  <c:v>3.4386480550243834</c:v>
                </c:pt>
                <c:pt idx="2">
                  <c:v>3.4482726870369653</c:v>
                </c:pt>
                <c:pt idx="3">
                  <c:v>2.9195544903506128</c:v>
                </c:pt>
                <c:pt idx="4">
                  <c:v>3.3511455480086934</c:v>
                </c:pt>
                <c:pt idx="5">
                  <c:v>3.470999931523842</c:v>
                </c:pt>
                <c:pt idx="6">
                  <c:v>2.8475444570033299</c:v>
                </c:pt>
                <c:pt idx="7">
                  <c:v>2.8889338979790238</c:v>
                </c:pt>
                <c:pt idx="8">
                  <c:v>3.2654936758288331</c:v>
                </c:pt>
              </c:numCache>
            </c:numRef>
          </c:val>
          <c:smooth val="0"/>
        </c:ser>
        <c:ser>
          <c:idx val="1"/>
          <c:order val="1"/>
          <c:tx>
            <c:strRef>
              <c:f>respiratorio!$C$3</c:f>
              <c:strCache>
                <c:ptCount val="1"/>
                <c:pt idx="0">
                  <c:v>Lombardia</c:v>
                </c:pt>
              </c:strCache>
            </c:strRef>
          </c:tx>
          <c:marker>
            <c:symbol val="none"/>
          </c:marker>
          <c:cat>
            <c:numRef>
              <c:f>respiratorio!$A$4:$A$12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respiratorio!$N$4:$N$12</c:f>
              <c:numCache>
                <c:formatCode>General</c:formatCode>
                <c:ptCount val="9"/>
                <c:pt idx="0">
                  <c:v>4.0199999999999996</c:v>
                </c:pt>
                <c:pt idx="1">
                  <c:v>4.03</c:v>
                </c:pt>
                <c:pt idx="2">
                  <c:v>3.93</c:v>
                </c:pt>
                <c:pt idx="3">
                  <c:v>3.95</c:v>
                </c:pt>
                <c:pt idx="4">
                  <c:v>3.76</c:v>
                </c:pt>
                <c:pt idx="5">
                  <c:v>4.13</c:v>
                </c:pt>
                <c:pt idx="6">
                  <c:v>3.8</c:v>
                </c:pt>
                <c:pt idx="7">
                  <c:v>3.7</c:v>
                </c:pt>
              </c:numCache>
            </c:numRef>
          </c:val>
          <c:smooth val="0"/>
        </c:ser>
        <c:ser>
          <c:idx val="2"/>
          <c:order val="2"/>
          <c:tx>
            <c:strRef>
              <c:f>respiratorio!$O$3</c:f>
              <c:strCache>
                <c:ptCount val="1"/>
                <c:pt idx="0">
                  <c:v>Italia</c:v>
                </c:pt>
              </c:strCache>
            </c:strRef>
          </c:tx>
          <c:marker>
            <c:symbol val="none"/>
          </c:marker>
          <c:cat>
            <c:numRef>
              <c:f>respiratorio!$A$4:$A$12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respiratorio!$O$4:$O$12</c:f>
              <c:numCache>
                <c:formatCode>General</c:formatCode>
                <c:ptCount val="9"/>
                <c:pt idx="0">
                  <c:v>3.78</c:v>
                </c:pt>
                <c:pt idx="1">
                  <c:v>3.68</c:v>
                </c:pt>
                <c:pt idx="2">
                  <c:v>3.78</c:v>
                </c:pt>
                <c:pt idx="3">
                  <c:v>3.56</c:v>
                </c:pt>
                <c:pt idx="4">
                  <c:v>3.7</c:v>
                </c:pt>
                <c:pt idx="5">
                  <c:v>3.95</c:v>
                </c:pt>
                <c:pt idx="6">
                  <c:v>3.74</c:v>
                </c:pt>
                <c:pt idx="7">
                  <c:v>3.6</c:v>
                </c:pt>
              </c:numCache>
            </c:numRef>
          </c:val>
          <c:smooth val="0"/>
        </c:ser>
        <c:dLbls>
          <c:showLegendKey val="0"/>
          <c:showVal val="0"/>
          <c:showCatName val="0"/>
          <c:showSerName val="0"/>
          <c:showPercent val="0"/>
          <c:showBubbleSize val="0"/>
        </c:dLbls>
        <c:marker val="1"/>
        <c:smooth val="0"/>
        <c:axId val="115870336"/>
        <c:axId val="115872128"/>
      </c:lineChart>
      <c:catAx>
        <c:axId val="115870336"/>
        <c:scaling>
          <c:orientation val="minMax"/>
        </c:scaling>
        <c:delete val="0"/>
        <c:axPos val="b"/>
        <c:numFmt formatCode="General" sourceLinked="1"/>
        <c:majorTickMark val="none"/>
        <c:minorTickMark val="none"/>
        <c:tickLblPos val="nextTo"/>
        <c:txPr>
          <a:bodyPr/>
          <a:lstStyle/>
          <a:p>
            <a:pPr>
              <a:defRPr sz="900"/>
            </a:pPr>
            <a:endParaRPr lang="it-IT"/>
          </a:p>
        </c:txPr>
        <c:crossAx val="115872128"/>
        <c:crosses val="autoZero"/>
        <c:auto val="1"/>
        <c:lblAlgn val="ctr"/>
        <c:lblOffset val="100"/>
        <c:noMultiLvlLbl val="0"/>
      </c:catAx>
      <c:valAx>
        <c:axId val="115872128"/>
        <c:scaling>
          <c:orientation val="minMax"/>
          <c:max val="10"/>
          <c:min val="0"/>
        </c:scaling>
        <c:delete val="0"/>
        <c:axPos val="l"/>
        <c:majorGridlines/>
        <c:numFmt formatCode="0" sourceLinked="0"/>
        <c:majorTickMark val="none"/>
        <c:minorTickMark val="none"/>
        <c:tickLblPos val="nextTo"/>
        <c:spPr>
          <a:ln w="9525">
            <a:noFill/>
          </a:ln>
        </c:spPr>
        <c:crossAx val="115870336"/>
        <c:crosses val="autoZero"/>
        <c:crossBetween val="between"/>
        <c:majorUnit val="2"/>
      </c:valAx>
      <c:spPr>
        <a:ln>
          <a:solidFill>
            <a:schemeClr val="bg1">
              <a:lumMod val="50000"/>
            </a:schemeClr>
          </a:solidFill>
        </a:ln>
      </c:spPr>
    </c:plotArea>
    <c:legend>
      <c:legendPos val="b"/>
      <c:overlay val="0"/>
    </c:legend>
    <c:plotVisOnly val="1"/>
    <c:dispBlanksAs val="gap"/>
    <c:showDLblsOverMax val="0"/>
  </c:chart>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Patologie respiratorie</a:t>
            </a:r>
          </a:p>
        </c:rich>
      </c:tx>
      <c:overlay val="0"/>
    </c:title>
    <c:autoTitleDeleted val="0"/>
    <c:plotArea>
      <c:layout/>
      <c:barChart>
        <c:barDir val="col"/>
        <c:grouping val="clustered"/>
        <c:varyColors val="0"/>
        <c:ser>
          <c:idx val="0"/>
          <c:order val="0"/>
          <c:tx>
            <c:strRef>
              <c:f>'08'!$B$27</c:f>
              <c:strCache>
                <c:ptCount val="1"/>
                <c:pt idx="0">
                  <c:v>00-14</c:v>
                </c:pt>
              </c:strCache>
            </c:strRef>
          </c:tx>
          <c:invertIfNegative val="0"/>
          <c:dLbls>
            <c:showLegendKey val="0"/>
            <c:showVal val="1"/>
            <c:showCatName val="0"/>
            <c:showSerName val="0"/>
            <c:showPercent val="0"/>
            <c:showBubbleSize val="0"/>
            <c:showLeaderLines val="0"/>
          </c:dLbls>
          <c:cat>
            <c:multiLvlStrRef>
              <c:f>'08'!$C$25:$H$26</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'08'!$C$27:$H$27</c:f>
              <c:numCache>
                <c:formatCode>#,##0.00</c:formatCode>
                <c:ptCount val="6"/>
                <c:pt idx="0">
                  <c:v>22.144621412145472</c:v>
                </c:pt>
                <c:pt idx="1">
                  <c:v>11.218245874281475</c:v>
                </c:pt>
                <c:pt idx="2">
                  <c:v>26.811897779639715</c:v>
                </c:pt>
                <c:pt idx="3">
                  <c:v>14.038293807368026</c:v>
                </c:pt>
                <c:pt idx="4">
                  <c:v>28.656126482213441</c:v>
                </c:pt>
                <c:pt idx="5">
                  <c:v>18.285086112128987</c:v>
                </c:pt>
              </c:numCache>
            </c:numRef>
          </c:val>
        </c:ser>
        <c:ser>
          <c:idx val="1"/>
          <c:order val="1"/>
          <c:tx>
            <c:strRef>
              <c:f>'08'!$B$28</c:f>
              <c:strCache>
                <c:ptCount val="1"/>
                <c:pt idx="0">
                  <c:v>15-29</c:v>
                </c:pt>
              </c:strCache>
            </c:strRef>
          </c:tx>
          <c:invertIfNegative val="0"/>
          <c:dLbls>
            <c:showLegendKey val="0"/>
            <c:showVal val="1"/>
            <c:showCatName val="0"/>
            <c:showSerName val="0"/>
            <c:showPercent val="0"/>
            <c:showBubbleSize val="0"/>
            <c:showLeaderLines val="0"/>
          </c:dLbls>
          <c:cat>
            <c:multiLvlStrRef>
              <c:f>'08'!$C$25:$H$26</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'08'!$C$28:$H$28</c:f>
              <c:numCache>
                <c:formatCode>#,##0.00</c:formatCode>
                <c:ptCount val="6"/>
                <c:pt idx="0">
                  <c:v>41.785534485651958</c:v>
                </c:pt>
                <c:pt idx="1">
                  <c:v>29.202155397184079</c:v>
                </c:pt>
                <c:pt idx="2">
                  <c:v>45.642111306469559</c:v>
                </c:pt>
                <c:pt idx="3">
                  <c:v>29.84735426688383</c:v>
                </c:pt>
                <c:pt idx="4">
                  <c:v>31.84593545297508</c:v>
                </c:pt>
                <c:pt idx="5">
                  <c:v>23.811687721530493</c:v>
                </c:pt>
              </c:numCache>
            </c:numRef>
          </c:val>
        </c:ser>
        <c:ser>
          <c:idx val="2"/>
          <c:order val="2"/>
          <c:tx>
            <c:strRef>
              <c:f>'08'!$B$29</c:f>
              <c:strCache>
                <c:ptCount val="1"/>
                <c:pt idx="0">
                  <c:v>30-64</c:v>
                </c:pt>
              </c:strCache>
            </c:strRef>
          </c:tx>
          <c:invertIfNegative val="0"/>
          <c:dLbls>
            <c:showLegendKey val="0"/>
            <c:showVal val="1"/>
            <c:showCatName val="0"/>
            <c:showSerName val="0"/>
            <c:showPercent val="0"/>
            <c:showBubbleSize val="0"/>
            <c:showLeaderLines val="0"/>
          </c:dLbls>
          <c:cat>
            <c:multiLvlStrRef>
              <c:f>'08'!$C$25:$H$26</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'08'!$C$29:$H$29</c:f>
              <c:numCache>
                <c:formatCode>#,##0.00</c:formatCode>
                <c:ptCount val="6"/>
                <c:pt idx="0">
                  <c:v>27.329459866580589</c:v>
                </c:pt>
                <c:pt idx="1">
                  <c:v>31.813283699059557</c:v>
                </c:pt>
                <c:pt idx="2">
                  <c:v>33.193660420657935</c:v>
                </c:pt>
                <c:pt idx="3">
                  <c:v>36.251030459320631</c:v>
                </c:pt>
                <c:pt idx="4">
                  <c:v>26.888296079432184</c:v>
                </c:pt>
                <c:pt idx="5">
                  <c:v>29.443528118127553</c:v>
                </c:pt>
              </c:numCache>
            </c:numRef>
          </c:val>
        </c:ser>
        <c:dLbls>
          <c:showLegendKey val="0"/>
          <c:showVal val="0"/>
          <c:showCatName val="0"/>
          <c:showSerName val="0"/>
          <c:showPercent val="0"/>
          <c:showBubbleSize val="0"/>
        </c:dLbls>
        <c:gapWidth val="150"/>
        <c:axId val="115903488"/>
        <c:axId val="115921664"/>
      </c:barChart>
      <c:catAx>
        <c:axId val="115903488"/>
        <c:scaling>
          <c:orientation val="minMax"/>
        </c:scaling>
        <c:delete val="0"/>
        <c:axPos val="b"/>
        <c:numFmt formatCode="General" sourceLinked="1"/>
        <c:majorTickMark val="none"/>
        <c:minorTickMark val="none"/>
        <c:tickLblPos val="nextTo"/>
        <c:crossAx val="115921664"/>
        <c:crosses val="autoZero"/>
        <c:auto val="1"/>
        <c:lblAlgn val="ctr"/>
        <c:lblOffset val="100"/>
        <c:noMultiLvlLbl val="0"/>
      </c:catAx>
      <c:valAx>
        <c:axId val="115921664"/>
        <c:scaling>
          <c:orientation val="minMax"/>
        </c:scaling>
        <c:delete val="0"/>
        <c:axPos val="l"/>
        <c:majorGridlines/>
        <c:numFmt formatCode="#,##0" sourceLinked="0"/>
        <c:majorTickMark val="none"/>
        <c:minorTickMark val="none"/>
        <c:tickLblPos val="nextTo"/>
        <c:crossAx val="115903488"/>
        <c:crosses val="autoZero"/>
        <c:crossBetween val="between"/>
        <c:majorUnit val="10"/>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Mortalità T. cervice</a:t>
            </a:r>
            <a:r>
              <a:rPr lang="it-IT" sz="1200" baseline="0"/>
              <a:t> uterina</a:t>
            </a:r>
            <a:endParaRPr lang="it-IT" sz="1200"/>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Word]mortalita 2007-2015 x100000'!$Q$39</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Word]mortalita 2007-2015 x100000'!$P$40:$P$42</c:f>
              <c:strCache>
                <c:ptCount val="3"/>
                <c:pt idx="0">
                  <c:v>MANTOVA</c:v>
                </c:pt>
                <c:pt idx="1">
                  <c:v>CREMONA</c:v>
                </c:pt>
                <c:pt idx="2">
                  <c:v>CREMA</c:v>
                </c:pt>
              </c:strCache>
            </c:strRef>
          </c:cat>
          <c:val>
            <c:numRef>
              <c:f>'[Grafico in Microsoft Word]mortalita 2007-2015 x100000'!$Q$40:$Q$42</c:f>
              <c:numCache>
                <c:formatCode>0.0</c:formatCode>
                <c:ptCount val="3"/>
                <c:pt idx="0">
                  <c:v>0.98</c:v>
                </c:pt>
                <c:pt idx="1">
                  <c:v>1.41</c:v>
                </c:pt>
                <c:pt idx="2">
                  <c:v>1.41</c:v>
                </c:pt>
              </c:numCache>
            </c:numRef>
          </c:val>
        </c:ser>
        <c:dLbls>
          <c:showLegendKey val="0"/>
          <c:showVal val="0"/>
          <c:showCatName val="0"/>
          <c:showSerName val="0"/>
          <c:showPercent val="0"/>
          <c:showBubbleSize val="0"/>
        </c:dLbls>
        <c:gapWidth val="150"/>
        <c:shape val="box"/>
        <c:axId val="82264064"/>
        <c:axId val="82265600"/>
        <c:axId val="0"/>
      </c:bar3DChart>
      <c:catAx>
        <c:axId val="82264064"/>
        <c:scaling>
          <c:orientation val="minMax"/>
        </c:scaling>
        <c:delete val="0"/>
        <c:axPos val="l"/>
        <c:majorTickMark val="none"/>
        <c:minorTickMark val="none"/>
        <c:tickLblPos val="nextTo"/>
        <c:txPr>
          <a:bodyPr/>
          <a:lstStyle/>
          <a:p>
            <a:pPr>
              <a:defRPr sz="800" b="1"/>
            </a:pPr>
            <a:endParaRPr lang="it-IT"/>
          </a:p>
        </c:txPr>
        <c:crossAx val="82265600"/>
        <c:crosses val="autoZero"/>
        <c:auto val="1"/>
        <c:lblAlgn val="ctr"/>
        <c:lblOffset val="100"/>
        <c:noMultiLvlLbl val="0"/>
      </c:catAx>
      <c:valAx>
        <c:axId val="8226560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82264064"/>
        <c:crosses val="autoZero"/>
        <c:crossBetween val="between"/>
      </c:valAx>
    </c:plotArea>
    <c:plotVisOnly val="1"/>
    <c:dispBlanksAs val="gap"/>
    <c:showDLblsOverMax val="0"/>
  </c:chart>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Celiachia</a:t>
            </a:r>
          </a:p>
        </c:rich>
      </c:tx>
      <c:overlay val="0"/>
    </c:title>
    <c:autoTitleDeleted val="0"/>
    <c:plotArea>
      <c:layout/>
      <c:barChart>
        <c:barDir val="col"/>
        <c:grouping val="clustered"/>
        <c:varyColors val="0"/>
        <c:ser>
          <c:idx val="0"/>
          <c:order val="0"/>
          <c:tx>
            <c:strRef>
              <c:f>celiaci!$A$43</c:f>
              <c:strCache>
                <c:ptCount val="1"/>
                <c:pt idx="0">
                  <c:v>00-14</c:v>
                </c:pt>
              </c:strCache>
            </c:strRef>
          </c:tx>
          <c:invertIfNegative val="0"/>
          <c:dLbls>
            <c:dLbl>
              <c:idx val="2"/>
              <c:layout>
                <c:manualLayout>
                  <c:x val="-2.4600439705184454E-2"/>
                  <c:y val="0.12004287245444802"/>
                </c:manualLayout>
              </c:layout>
              <c:spPr/>
              <c:txPr>
                <a:bodyPr/>
                <a:lstStyle/>
                <a:p>
                  <a:pPr>
                    <a:defRPr/>
                  </a:pPr>
                  <a:endParaRPr lang="it-IT"/>
                </a:p>
              </c:txPr>
              <c:dLblPos val="outEnd"/>
              <c:showLegendKey val="0"/>
              <c:showVal val="1"/>
              <c:showCatName val="0"/>
              <c:showSerName val="0"/>
              <c:showPercent val="0"/>
              <c:showBubbleSize val="0"/>
            </c:dLbl>
            <c:dLbl>
              <c:idx val="5"/>
              <c:layout>
                <c:manualLayout>
                  <c:x val="-7.3800738007380974E-3"/>
                  <c:y val="-6.0021436227223966E-2"/>
                </c:manualLayout>
              </c:layout>
              <c:spPr/>
              <c:txPr>
                <a:bodyPr/>
                <a:lstStyle/>
                <a:p>
                  <a:pPr>
                    <a:defRPr/>
                  </a:pPr>
                  <a:endParaRPr lang="it-IT"/>
                </a:p>
              </c:txPr>
              <c:dLblPos val="outEnd"/>
              <c:showLegendKey val="0"/>
              <c:showVal val="1"/>
              <c:showCatName val="0"/>
              <c:showSerName val="0"/>
              <c:showPercent val="0"/>
              <c:showBubbleSize val="0"/>
            </c:dLbl>
            <c:showLegendKey val="0"/>
            <c:showVal val="1"/>
            <c:showCatName val="0"/>
            <c:showSerName val="0"/>
            <c:showPercent val="0"/>
            <c:showBubbleSize val="0"/>
            <c:showLeaderLines val="0"/>
          </c:dLbls>
          <c:cat>
            <c:multiLvlStrRef>
              <c:f>celiaci!$B$41:$G$42</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celiaci!$B$43:$G$43</c:f>
              <c:numCache>
                <c:formatCode>0.00</c:formatCode>
                <c:ptCount val="6"/>
                <c:pt idx="0">
                  <c:v>2.9059829059829059</c:v>
                </c:pt>
                <c:pt idx="1">
                  <c:v>5.314685314685315</c:v>
                </c:pt>
                <c:pt idx="2">
                  <c:v>1.8191465170923975</c:v>
                </c:pt>
                <c:pt idx="3">
                  <c:v>4.1199736321687537</c:v>
                </c:pt>
                <c:pt idx="4">
                  <c:v>3.0125579663541275</c:v>
                </c:pt>
                <c:pt idx="5">
                  <c:v>6.3090332227125199</c:v>
                </c:pt>
              </c:numCache>
            </c:numRef>
          </c:val>
        </c:ser>
        <c:ser>
          <c:idx val="1"/>
          <c:order val="1"/>
          <c:tx>
            <c:strRef>
              <c:f>celiaci!$A$44</c:f>
              <c:strCache>
                <c:ptCount val="1"/>
                <c:pt idx="0">
                  <c:v>15-29</c:v>
                </c:pt>
              </c:strCache>
            </c:strRef>
          </c:tx>
          <c:invertIfNegative val="0"/>
          <c:dLbls>
            <c:dLbl>
              <c:idx val="0"/>
              <c:layout>
                <c:manualLayout>
                  <c:x val="0"/>
                  <c:y val="-5.1446945337620655E-2"/>
                </c:manualLayout>
              </c:layout>
              <c:spPr/>
              <c:txPr>
                <a:bodyPr/>
                <a:lstStyle/>
                <a:p>
                  <a:pPr>
                    <a:defRPr/>
                  </a:pPr>
                  <a:endParaRPr lang="it-IT"/>
                </a:p>
              </c:txPr>
              <c:dLblPos val="outEnd"/>
              <c:showLegendKey val="0"/>
              <c:showVal val="1"/>
              <c:showCatName val="0"/>
              <c:showSerName val="0"/>
              <c:showPercent val="0"/>
              <c:showBubbleSize val="0"/>
            </c:dLbl>
            <c:dLbl>
              <c:idx val="1"/>
              <c:layout>
                <c:manualLayout>
                  <c:x val="0"/>
                  <c:y val="-6.4308681672025719E-2"/>
                </c:manualLayout>
              </c:layout>
              <c:spPr/>
              <c:txPr>
                <a:bodyPr/>
                <a:lstStyle/>
                <a:p>
                  <a:pPr>
                    <a:defRPr/>
                  </a:pPr>
                  <a:endParaRPr lang="it-IT"/>
                </a:p>
              </c:txPr>
              <c:dLblPos val="outEnd"/>
              <c:showLegendKey val="0"/>
              <c:showVal val="1"/>
              <c:showCatName val="0"/>
              <c:showSerName val="0"/>
              <c:showPercent val="0"/>
              <c:showBubbleSize val="0"/>
            </c:dLbl>
            <c:dLbl>
              <c:idx val="3"/>
              <c:layout>
                <c:manualLayout>
                  <c:x val="0"/>
                  <c:y val="-8.5745246474415782E-2"/>
                </c:manualLayout>
              </c:layout>
              <c:spPr/>
              <c:txPr>
                <a:bodyPr/>
                <a:lstStyle/>
                <a:p>
                  <a:pPr>
                    <a:defRPr/>
                  </a:pPr>
                  <a:endParaRPr lang="it-IT"/>
                </a:p>
              </c:txPr>
              <c:dLblPos val="outEnd"/>
              <c:showLegendKey val="0"/>
              <c:showVal val="1"/>
              <c:showCatName val="0"/>
              <c:showSerName val="0"/>
              <c:showPercent val="0"/>
              <c:showBubbleSize val="0"/>
            </c:dLbl>
            <c:dLbl>
              <c:idx val="4"/>
              <c:layout>
                <c:manualLayout>
                  <c:x val="0"/>
                  <c:y val="-5.1446945337620578E-2"/>
                </c:manualLayout>
              </c:layout>
              <c:spPr/>
              <c:txPr>
                <a:bodyPr/>
                <a:lstStyle/>
                <a:p>
                  <a:pPr>
                    <a:defRPr/>
                  </a:pPr>
                  <a:endParaRPr lang="it-IT"/>
                </a:p>
              </c:txPr>
              <c:dLblPos val="outEnd"/>
              <c:showLegendKey val="0"/>
              <c:showVal val="1"/>
              <c:showCatName val="0"/>
              <c:showSerName val="0"/>
              <c:showPercent val="0"/>
              <c:showBubbleSize val="0"/>
            </c:dLbl>
            <c:dLbl>
              <c:idx val="5"/>
              <c:layout>
                <c:manualLayout>
                  <c:x val="2.4598308975215736E-3"/>
                  <c:y val="1.7148981779206859E-2"/>
                </c:manualLayout>
              </c:layout>
              <c:spPr/>
              <c:txPr>
                <a:bodyPr/>
                <a:lstStyle/>
                <a:p>
                  <a:pPr>
                    <a:defRPr/>
                  </a:pPr>
                  <a:endParaRPr lang="it-IT"/>
                </a:p>
              </c:txPr>
              <c:dLblPos val="outEnd"/>
              <c:showLegendKey val="0"/>
              <c:showVal val="1"/>
              <c:showCatName val="0"/>
              <c:showSerName val="0"/>
              <c:showPercent val="0"/>
              <c:showBubbleSize val="0"/>
            </c:dLbl>
            <c:showLegendKey val="0"/>
            <c:showVal val="1"/>
            <c:showCatName val="0"/>
            <c:showSerName val="0"/>
            <c:showPercent val="0"/>
            <c:showBubbleSize val="0"/>
            <c:showLeaderLines val="0"/>
          </c:dLbls>
          <c:cat>
            <c:multiLvlStrRef>
              <c:f>celiaci!$B$41:$G$42</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celiaci!$B$44:$G$44</c:f>
              <c:numCache>
                <c:formatCode>0.00</c:formatCode>
                <c:ptCount val="6"/>
                <c:pt idx="0">
                  <c:v>3.8184132371658892</c:v>
                </c:pt>
                <c:pt idx="1">
                  <c:v>6.1493157803568339</c:v>
                </c:pt>
                <c:pt idx="2">
                  <c:v>2.2529069767441863</c:v>
                </c:pt>
                <c:pt idx="3">
                  <c:v>4.5916447120812949</c:v>
                </c:pt>
                <c:pt idx="4">
                  <c:v>4.0044571348979732</c:v>
                </c:pt>
                <c:pt idx="5">
                  <c:v>5.8862001308044478</c:v>
                </c:pt>
              </c:numCache>
            </c:numRef>
          </c:val>
        </c:ser>
        <c:ser>
          <c:idx val="2"/>
          <c:order val="2"/>
          <c:tx>
            <c:strRef>
              <c:f>celiaci!$A$45</c:f>
              <c:strCache>
                <c:ptCount val="1"/>
                <c:pt idx="0">
                  <c:v>30-64</c:v>
                </c:pt>
              </c:strCache>
            </c:strRef>
          </c:tx>
          <c:invertIfNegative val="0"/>
          <c:dLbls>
            <c:dLbl>
              <c:idx val="3"/>
              <c:layout>
                <c:manualLayout>
                  <c:x val="-2.4600246002460025E-3"/>
                  <c:y val="-5.1446945337620578E-2"/>
                </c:manualLayout>
              </c:layout>
              <c:spPr/>
              <c:txPr>
                <a:bodyPr/>
                <a:lstStyle/>
                <a:p>
                  <a:pPr>
                    <a:defRPr/>
                  </a:pPr>
                  <a:endParaRPr lang="it-IT"/>
                </a:p>
              </c:txPr>
              <c:dLblPos val="outEnd"/>
              <c:showLegendKey val="0"/>
              <c:showVal val="1"/>
              <c:showCatName val="0"/>
              <c:showSerName val="0"/>
              <c:showPercent val="0"/>
              <c:showBubbleSize val="0"/>
            </c:dLbl>
            <c:dLbl>
              <c:idx val="5"/>
              <c:layout>
                <c:manualLayout>
                  <c:x val="4.9200492004920051E-3"/>
                  <c:y val="-6.4308681672025719E-2"/>
                </c:manualLayout>
              </c:layout>
              <c:spPr/>
              <c:txPr>
                <a:bodyPr/>
                <a:lstStyle/>
                <a:p>
                  <a:pPr>
                    <a:defRPr/>
                  </a:pPr>
                  <a:endParaRPr lang="it-IT"/>
                </a:p>
              </c:txPr>
              <c:dLblPos val="outEnd"/>
              <c:showLegendKey val="0"/>
              <c:showVal val="1"/>
              <c:showCatName val="0"/>
              <c:showSerName val="0"/>
              <c:showPercent val="0"/>
              <c:showBubbleSize val="0"/>
            </c:dLbl>
            <c:showLegendKey val="0"/>
            <c:showVal val="1"/>
            <c:showCatName val="0"/>
            <c:showSerName val="0"/>
            <c:showPercent val="0"/>
            <c:showBubbleSize val="0"/>
            <c:showLeaderLines val="0"/>
          </c:dLbls>
          <c:cat>
            <c:multiLvlStrRef>
              <c:f>celiaci!$B$41:$G$42</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celiaci!$B$45:$G$45</c:f>
              <c:numCache>
                <c:formatCode>0.00</c:formatCode>
                <c:ptCount val="6"/>
                <c:pt idx="0">
                  <c:v>1.3200844854070661</c:v>
                </c:pt>
                <c:pt idx="1">
                  <c:v>3.6563519913621749</c:v>
                </c:pt>
                <c:pt idx="2">
                  <c:v>1.0011646200682425</c:v>
                </c:pt>
                <c:pt idx="3">
                  <c:v>3.3257556622042603</c:v>
                </c:pt>
                <c:pt idx="4">
                  <c:v>1.3157003685895885</c:v>
                </c:pt>
                <c:pt idx="5">
                  <c:v>3.5468984234918333</c:v>
                </c:pt>
              </c:numCache>
            </c:numRef>
          </c:val>
        </c:ser>
        <c:dLbls>
          <c:showLegendKey val="0"/>
          <c:showVal val="0"/>
          <c:showCatName val="0"/>
          <c:showSerName val="0"/>
          <c:showPercent val="0"/>
          <c:showBubbleSize val="0"/>
        </c:dLbls>
        <c:gapWidth val="150"/>
        <c:axId val="116501120"/>
        <c:axId val="115937664"/>
      </c:barChart>
      <c:catAx>
        <c:axId val="116501120"/>
        <c:scaling>
          <c:orientation val="minMax"/>
        </c:scaling>
        <c:delete val="0"/>
        <c:axPos val="b"/>
        <c:numFmt formatCode="General" sourceLinked="1"/>
        <c:majorTickMark val="none"/>
        <c:minorTickMark val="none"/>
        <c:tickLblPos val="nextTo"/>
        <c:crossAx val="115937664"/>
        <c:crosses val="autoZero"/>
        <c:auto val="1"/>
        <c:lblAlgn val="ctr"/>
        <c:lblOffset val="100"/>
        <c:noMultiLvlLbl val="0"/>
      </c:catAx>
      <c:valAx>
        <c:axId val="115937664"/>
        <c:scaling>
          <c:orientation val="minMax"/>
        </c:scaling>
        <c:delete val="0"/>
        <c:axPos val="l"/>
        <c:majorGridlines/>
        <c:numFmt formatCode="#,##0" sourceLinked="0"/>
        <c:majorTickMark val="none"/>
        <c:minorTickMark val="none"/>
        <c:tickLblPos val="nextTo"/>
        <c:crossAx val="116501120"/>
        <c:crosses val="autoZero"/>
        <c:crossBetween val="between"/>
      </c:valAx>
    </c:plotArea>
    <c:legend>
      <c:legendPos val="r"/>
      <c:overlay val="0"/>
    </c:legend>
    <c:plotVisOnly val="1"/>
    <c:dispBlanksAs val="gap"/>
    <c:showDLblsOverMax val="0"/>
  </c:chart>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HIV</a:t>
            </a:r>
          </a:p>
        </c:rich>
      </c:tx>
      <c:overlay val="0"/>
    </c:title>
    <c:autoTitleDeleted val="0"/>
    <c:plotArea>
      <c:layout/>
      <c:barChart>
        <c:barDir val="col"/>
        <c:grouping val="clustered"/>
        <c:varyColors val="0"/>
        <c:ser>
          <c:idx val="0"/>
          <c:order val="0"/>
          <c:tx>
            <c:strRef>
              <c:f>'04'!$A$20</c:f>
              <c:strCache>
                <c:ptCount val="1"/>
                <c:pt idx="0">
                  <c:v>00-14</c:v>
                </c:pt>
              </c:strCache>
            </c:strRef>
          </c:tx>
          <c:invertIfNegative val="0"/>
          <c:dLbls>
            <c:showLegendKey val="0"/>
            <c:showVal val="1"/>
            <c:showCatName val="0"/>
            <c:showSerName val="0"/>
            <c:showPercent val="0"/>
            <c:showBubbleSize val="0"/>
            <c:showLeaderLines val="0"/>
          </c:dLbls>
          <c:cat>
            <c:multiLvlStrRef>
              <c:f>'04'!$B$18:$G$19</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'04'!$B$20:$G$20</c:f>
              <c:numCache>
                <c:formatCode>#,##0.00</c:formatCode>
                <c:ptCount val="6"/>
                <c:pt idx="0">
                  <c:v>0</c:v>
                </c:pt>
                <c:pt idx="1">
                  <c:v>0.18648018648018649</c:v>
                </c:pt>
                <c:pt idx="2">
                  <c:v>0.15159554309103312</c:v>
                </c:pt>
                <c:pt idx="3">
                  <c:v>0</c:v>
                </c:pt>
                <c:pt idx="4">
                  <c:v>3.3848965914091325E-2</c:v>
                </c:pt>
                <c:pt idx="5">
                  <c:v>3.6468400131286244E-2</c:v>
                </c:pt>
              </c:numCache>
            </c:numRef>
          </c:val>
        </c:ser>
        <c:ser>
          <c:idx val="1"/>
          <c:order val="1"/>
          <c:tx>
            <c:strRef>
              <c:f>'04'!$A$21</c:f>
              <c:strCache>
                <c:ptCount val="1"/>
                <c:pt idx="0">
                  <c:v>15-29</c:v>
                </c:pt>
              </c:strCache>
            </c:strRef>
          </c:tx>
          <c:invertIfNegative val="0"/>
          <c:dLbls>
            <c:dLbl>
              <c:idx val="1"/>
              <c:layout>
                <c:manualLayout>
                  <c:x val="-2.0898641588296763E-3"/>
                  <c:y val="-3.3057851239669422E-2"/>
                </c:manualLayout>
              </c:layout>
              <c:showLegendKey val="0"/>
              <c:showVal val="1"/>
              <c:showCatName val="0"/>
              <c:showSerName val="0"/>
              <c:showPercent val="0"/>
              <c:showBubbleSize val="0"/>
            </c:dLbl>
            <c:dLbl>
              <c:idx val="2"/>
              <c:layout>
                <c:manualLayout>
                  <c:x val="-1.7204354157924616E-3"/>
                  <c:y val="-1.5699876358430401E-2"/>
                </c:manualLayout>
              </c:layout>
              <c:spPr/>
              <c:txPr>
                <a:bodyPr/>
                <a:lstStyle/>
                <a:p>
                  <a:pPr>
                    <a:defRPr/>
                  </a:pPr>
                  <a:endParaRPr lang="it-IT"/>
                </a:p>
              </c:txPr>
              <c:dLblPos val="outEnd"/>
              <c:showLegendKey val="0"/>
              <c:showVal val="1"/>
              <c:showCatName val="0"/>
              <c:showSerName val="0"/>
              <c:showPercent val="0"/>
              <c:showBubbleSize val="0"/>
            </c:dLbl>
            <c:dLbl>
              <c:idx val="3"/>
              <c:layout>
                <c:manualLayout>
                  <c:x val="-6.8817204301075902E-3"/>
                  <c:y val="-2.3598820058996977E-2"/>
                </c:manualLayout>
              </c:layout>
              <c:spPr/>
              <c:txPr>
                <a:bodyPr/>
                <a:lstStyle/>
                <a:p>
                  <a:pPr>
                    <a:defRPr/>
                  </a:pPr>
                  <a:endParaRPr lang="it-IT"/>
                </a:p>
              </c:txPr>
              <c:dLblPos val="outEnd"/>
              <c:showLegendKey val="0"/>
              <c:showVal val="1"/>
              <c:showCatName val="0"/>
              <c:showSerName val="0"/>
              <c:showPercent val="0"/>
              <c:showBubbleSize val="0"/>
            </c:dLbl>
            <c:dLbl>
              <c:idx val="4"/>
              <c:layout>
                <c:manualLayout>
                  <c:x val="-8.3594566353187051E-3"/>
                  <c:y val="-4.9586776859504134E-2"/>
                </c:manualLayout>
              </c:layout>
              <c:showLegendKey val="0"/>
              <c:showVal val="1"/>
              <c:showCatName val="0"/>
              <c:showSerName val="0"/>
              <c:showPercent val="0"/>
              <c:showBubbleSize val="0"/>
            </c:dLbl>
            <c:dLbl>
              <c:idx val="5"/>
              <c:layout>
                <c:manualLayout>
                  <c:x val="-8.3594566353187051E-3"/>
                  <c:y val="-5.5096418732782371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multiLvlStrRef>
              <c:f>'04'!$B$18:$G$19</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'04'!$B$21:$G$21</c:f>
              <c:numCache>
                <c:formatCode>#,##0.00</c:formatCode>
                <c:ptCount val="6"/>
                <c:pt idx="0">
                  <c:v>0.67882901994060252</c:v>
                </c:pt>
                <c:pt idx="1">
                  <c:v>0.43305040706738268</c:v>
                </c:pt>
                <c:pt idx="2">
                  <c:v>1.1627906976744187</c:v>
                </c:pt>
                <c:pt idx="3">
                  <c:v>0.30109145652992098</c:v>
                </c:pt>
                <c:pt idx="4">
                  <c:v>0.3830350302945888</c:v>
                </c:pt>
                <c:pt idx="5">
                  <c:v>0.18167284354334715</c:v>
                </c:pt>
              </c:numCache>
            </c:numRef>
          </c:val>
        </c:ser>
        <c:ser>
          <c:idx val="2"/>
          <c:order val="2"/>
          <c:tx>
            <c:strRef>
              <c:f>'04'!$A$22</c:f>
              <c:strCache>
                <c:ptCount val="1"/>
                <c:pt idx="0">
                  <c:v>30-64</c:v>
                </c:pt>
              </c:strCache>
            </c:strRef>
          </c:tx>
          <c:invertIfNegative val="0"/>
          <c:dLbls>
            <c:showLegendKey val="0"/>
            <c:showVal val="1"/>
            <c:showCatName val="0"/>
            <c:showSerName val="0"/>
            <c:showPercent val="0"/>
            <c:showBubbleSize val="0"/>
            <c:showLeaderLines val="0"/>
          </c:dLbls>
          <c:cat>
            <c:multiLvlStrRef>
              <c:f>'04'!$B$18:$G$19</c:f>
              <c:multiLvlStrCache>
                <c:ptCount val="6"/>
                <c:lvl>
                  <c:pt idx="0">
                    <c:v>M</c:v>
                  </c:pt>
                  <c:pt idx="1">
                    <c:v>F</c:v>
                  </c:pt>
                  <c:pt idx="2">
                    <c:v>M</c:v>
                  </c:pt>
                  <c:pt idx="3">
                    <c:v>F</c:v>
                  </c:pt>
                  <c:pt idx="4">
                    <c:v>M</c:v>
                  </c:pt>
                  <c:pt idx="5">
                    <c:v>F</c:v>
                  </c:pt>
                </c:lvl>
                <c:lvl>
                  <c:pt idx="0">
                    <c:v>CREMA</c:v>
                  </c:pt>
                  <c:pt idx="2">
                    <c:v>CREMONA</c:v>
                  </c:pt>
                  <c:pt idx="4">
                    <c:v>MANTOVA</c:v>
                  </c:pt>
                </c:lvl>
              </c:multiLvlStrCache>
            </c:multiLvlStrRef>
          </c:cat>
          <c:val>
            <c:numRef>
              <c:f>'04'!$B$22:$G$22</c:f>
              <c:numCache>
                <c:formatCode>#,##0.00</c:formatCode>
                <c:ptCount val="6"/>
                <c:pt idx="0">
                  <c:v>4.9203149001536097</c:v>
                </c:pt>
                <c:pt idx="1">
                  <c:v>2.1594562096635666</c:v>
                </c:pt>
                <c:pt idx="2">
                  <c:v>4.8015037901232045</c:v>
                </c:pt>
                <c:pt idx="3">
                  <c:v>2.0417613875557801</c:v>
                </c:pt>
                <c:pt idx="4">
                  <c:v>4.0438437799297651</c:v>
                </c:pt>
                <c:pt idx="5">
                  <c:v>1.6950647161991359</c:v>
                </c:pt>
              </c:numCache>
            </c:numRef>
          </c:val>
        </c:ser>
        <c:dLbls>
          <c:showLegendKey val="0"/>
          <c:showVal val="0"/>
          <c:showCatName val="0"/>
          <c:showSerName val="0"/>
          <c:showPercent val="0"/>
          <c:showBubbleSize val="0"/>
        </c:dLbls>
        <c:gapWidth val="150"/>
        <c:axId val="116248576"/>
        <c:axId val="116250112"/>
      </c:barChart>
      <c:catAx>
        <c:axId val="116248576"/>
        <c:scaling>
          <c:orientation val="minMax"/>
        </c:scaling>
        <c:delete val="0"/>
        <c:axPos val="b"/>
        <c:numFmt formatCode="General" sourceLinked="1"/>
        <c:majorTickMark val="none"/>
        <c:minorTickMark val="none"/>
        <c:tickLblPos val="nextTo"/>
        <c:crossAx val="116250112"/>
        <c:crosses val="autoZero"/>
        <c:auto val="1"/>
        <c:lblAlgn val="ctr"/>
        <c:lblOffset val="100"/>
        <c:noMultiLvlLbl val="0"/>
      </c:catAx>
      <c:valAx>
        <c:axId val="116250112"/>
        <c:scaling>
          <c:orientation val="minMax"/>
        </c:scaling>
        <c:delete val="0"/>
        <c:axPos val="l"/>
        <c:majorGridlines/>
        <c:numFmt formatCode="#,##0" sourceLinked="0"/>
        <c:majorTickMark val="none"/>
        <c:minorTickMark val="none"/>
        <c:tickLblPos val="nextTo"/>
        <c:crossAx val="116248576"/>
        <c:crosses val="autoZero"/>
        <c:crossBetween val="between"/>
      </c:valAx>
    </c:plotArea>
    <c:legend>
      <c:legendPos val="r"/>
      <c:overlay val="0"/>
    </c:legend>
    <c:plotVisOnly val="1"/>
    <c:dispBlanksAs val="gap"/>
    <c:showDLblsOverMax val="0"/>
  </c:chart>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Ospedalizzazione- Traumatismi</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Word]GRAFICI OSPEDALIZZAZIONE'!$R$3</c:f>
              <c:strCache>
                <c:ptCount val="1"/>
                <c:pt idx="0">
                  <c:v>F</c:v>
                </c:pt>
              </c:strCache>
            </c:strRef>
          </c:tx>
          <c:spPr>
            <a:solidFill>
              <a:srgbClr val="FF66CC"/>
            </a:solidFill>
          </c:spPr>
          <c:invertIfNegative val="0"/>
          <c:dLbls>
            <c:spPr>
              <a:noFill/>
              <a:ln>
                <a:noFill/>
              </a:ln>
              <a:effectLst/>
            </c:spPr>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'[Grafico in Microsoft Word]GRAFICI OSPEDALIZZAZIONE'!$Q$4:$Q$6</c:f>
              <c:strCache>
                <c:ptCount val="3"/>
                <c:pt idx="0">
                  <c:v>MANTOVA</c:v>
                </c:pt>
                <c:pt idx="1">
                  <c:v>CREMONA</c:v>
                </c:pt>
                <c:pt idx="2">
                  <c:v>CREMA</c:v>
                </c:pt>
              </c:strCache>
            </c:strRef>
          </c:cat>
          <c:val>
            <c:numRef>
              <c:f>'[Grafico in Microsoft Word]GRAFICI OSPEDALIZZAZIONE'!$R$4:$R$6</c:f>
              <c:numCache>
                <c:formatCode>0.0</c:formatCode>
                <c:ptCount val="3"/>
                <c:pt idx="0">
                  <c:v>14.18</c:v>
                </c:pt>
                <c:pt idx="1">
                  <c:v>13.02</c:v>
                </c:pt>
                <c:pt idx="2">
                  <c:v>11.23</c:v>
                </c:pt>
              </c:numCache>
            </c:numRef>
          </c:val>
        </c:ser>
        <c:ser>
          <c:idx val="1"/>
          <c:order val="1"/>
          <c:tx>
            <c:strRef>
              <c:f>'[Grafico in Microsoft Word]GRAFICI OSPEDALIZZAZIONE'!$S$3</c:f>
              <c:strCache>
                <c:ptCount val="1"/>
                <c:pt idx="0">
                  <c:v>M</c:v>
                </c:pt>
              </c:strCache>
            </c:strRef>
          </c:tx>
          <c:spPr>
            <a:solidFill>
              <a:srgbClr val="0066FF"/>
            </a:solidFill>
          </c:spPr>
          <c:invertIfNegative val="0"/>
          <c:dLbls>
            <c:spPr>
              <a:noFill/>
              <a:ln>
                <a:noFill/>
              </a:ln>
              <a:effectLst/>
            </c:spPr>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'[Grafico in Microsoft Word]GRAFICI OSPEDALIZZAZIONE'!$Q$4:$Q$6</c:f>
              <c:strCache>
                <c:ptCount val="3"/>
                <c:pt idx="0">
                  <c:v>MANTOVA</c:v>
                </c:pt>
                <c:pt idx="1">
                  <c:v>CREMONA</c:v>
                </c:pt>
                <c:pt idx="2">
                  <c:v>CREMA</c:v>
                </c:pt>
              </c:strCache>
            </c:strRef>
          </c:cat>
          <c:val>
            <c:numRef>
              <c:f>'[Grafico in Microsoft Word]GRAFICI OSPEDALIZZAZIONE'!$S$4:$S$6</c:f>
              <c:numCache>
                <c:formatCode>0.0</c:formatCode>
                <c:ptCount val="3"/>
                <c:pt idx="0">
                  <c:v>16.7</c:v>
                </c:pt>
                <c:pt idx="1">
                  <c:v>16.989999999999998</c:v>
                </c:pt>
                <c:pt idx="2">
                  <c:v>15.27</c:v>
                </c:pt>
              </c:numCache>
            </c:numRef>
          </c:val>
        </c:ser>
        <c:dLbls>
          <c:showLegendKey val="0"/>
          <c:showVal val="0"/>
          <c:showCatName val="0"/>
          <c:showSerName val="0"/>
          <c:showPercent val="0"/>
          <c:showBubbleSize val="0"/>
        </c:dLbls>
        <c:gapWidth val="150"/>
        <c:shape val="box"/>
        <c:axId val="116699904"/>
        <c:axId val="116701440"/>
        <c:axId val="0"/>
      </c:bar3DChart>
      <c:catAx>
        <c:axId val="116699904"/>
        <c:scaling>
          <c:orientation val="minMax"/>
        </c:scaling>
        <c:delete val="0"/>
        <c:axPos val="l"/>
        <c:numFmt formatCode="General" sourceLinked="0"/>
        <c:majorTickMark val="none"/>
        <c:minorTickMark val="none"/>
        <c:tickLblPos val="nextTo"/>
        <c:txPr>
          <a:bodyPr/>
          <a:lstStyle/>
          <a:p>
            <a:pPr>
              <a:defRPr sz="800" b="1"/>
            </a:pPr>
            <a:endParaRPr lang="it-IT"/>
          </a:p>
        </c:txPr>
        <c:crossAx val="116701440"/>
        <c:crosses val="autoZero"/>
        <c:auto val="1"/>
        <c:lblAlgn val="ctr"/>
        <c:lblOffset val="100"/>
        <c:noMultiLvlLbl val="0"/>
      </c:catAx>
      <c:valAx>
        <c:axId val="116701440"/>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16699904"/>
        <c:crosses val="autoZero"/>
        <c:crossBetween val="between"/>
      </c:valAx>
    </c:plotArea>
    <c:plotVisOnly val="1"/>
    <c:dispBlanksAs val="gap"/>
    <c:showDLblsOverMax val="0"/>
  </c:chart>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en-US" sz="1200"/>
              <a:t>Mortalità - Traumatismi</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Word]mortalità giusta'!$Q$47</c:f>
              <c:strCache>
                <c:ptCount val="1"/>
                <c:pt idx="0">
                  <c:v>F</c:v>
                </c:pt>
              </c:strCache>
            </c:strRef>
          </c:tx>
          <c:spPr>
            <a:solidFill>
              <a:srgbClr val="FF66CC"/>
            </a:solidFill>
          </c:spPr>
          <c:invertIfNegative val="0"/>
          <c:dLbls>
            <c:spPr>
              <a:noFill/>
              <a:ln>
                <a:noFill/>
              </a:ln>
              <a:effectLst/>
            </c:spPr>
            <c:txPr>
              <a:bodyPr/>
              <a:lstStyle/>
              <a:p>
                <a:pPr>
                  <a:defRPr sz="800" b="1"/>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'[Grafico in Microsoft Word]mortalità giusta'!$P$48:$P$50</c:f>
              <c:strCache>
                <c:ptCount val="3"/>
                <c:pt idx="0">
                  <c:v>MANTOVA</c:v>
                </c:pt>
                <c:pt idx="1">
                  <c:v>CREMONA</c:v>
                </c:pt>
                <c:pt idx="2">
                  <c:v>CREMA</c:v>
                </c:pt>
              </c:strCache>
            </c:strRef>
          </c:cat>
          <c:val>
            <c:numRef>
              <c:f>'[Grafico in Microsoft Word]mortalità giusta'!$Q$48:$Q$50</c:f>
              <c:numCache>
                <c:formatCode>0.0</c:formatCode>
                <c:ptCount val="3"/>
                <c:pt idx="0">
                  <c:v>21.99</c:v>
                </c:pt>
                <c:pt idx="1">
                  <c:v>16.829999999999998</c:v>
                </c:pt>
                <c:pt idx="2">
                  <c:v>23.23</c:v>
                </c:pt>
              </c:numCache>
            </c:numRef>
          </c:val>
        </c:ser>
        <c:ser>
          <c:idx val="1"/>
          <c:order val="1"/>
          <c:tx>
            <c:strRef>
              <c:f>'[Grafico in Microsoft Word]mortalità giusta'!$R$47</c:f>
              <c:strCache>
                <c:ptCount val="1"/>
                <c:pt idx="0">
                  <c:v>M</c:v>
                </c:pt>
              </c:strCache>
            </c:strRef>
          </c:tx>
          <c:spPr>
            <a:solidFill>
              <a:srgbClr val="0066FF"/>
            </a:solidFill>
          </c:spPr>
          <c:invertIfNegative val="0"/>
          <c:dLbls>
            <c:spPr>
              <a:noFill/>
              <a:ln>
                <a:noFill/>
              </a:ln>
              <a:effectLst/>
            </c:spPr>
            <c:txPr>
              <a:bodyPr/>
              <a:lstStyle/>
              <a:p>
                <a:pPr>
                  <a:defRPr sz="800" b="1">
                    <a:solidFill>
                      <a:sysClr val="windowText" lastClr="000000"/>
                    </a:solidFill>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'[Grafico in Microsoft Word]mortalità giusta'!$P$48:$P$50</c:f>
              <c:strCache>
                <c:ptCount val="3"/>
                <c:pt idx="0">
                  <c:v>MANTOVA</c:v>
                </c:pt>
                <c:pt idx="1">
                  <c:v>CREMONA</c:v>
                </c:pt>
                <c:pt idx="2">
                  <c:v>CREMA</c:v>
                </c:pt>
              </c:strCache>
            </c:strRef>
          </c:cat>
          <c:val>
            <c:numRef>
              <c:f>'[Grafico in Microsoft Word]mortalità giusta'!$R$48:$R$50</c:f>
              <c:numCache>
                <c:formatCode>0.0</c:formatCode>
                <c:ptCount val="3"/>
                <c:pt idx="0">
                  <c:v>56.13</c:v>
                </c:pt>
                <c:pt idx="1">
                  <c:v>46.18</c:v>
                </c:pt>
                <c:pt idx="2">
                  <c:v>46.39</c:v>
                </c:pt>
              </c:numCache>
            </c:numRef>
          </c:val>
        </c:ser>
        <c:dLbls>
          <c:showLegendKey val="0"/>
          <c:showVal val="0"/>
          <c:showCatName val="0"/>
          <c:showSerName val="0"/>
          <c:showPercent val="0"/>
          <c:showBubbleSize val="0"/>
        </c:dLbls>
        <c:gapWidth val="150"/>
        <c:shape val="box"/>
        <c:axId val="117403648"/>
        <c:axId val="117405184"/>
        <c:axId val="0"/>
      </c:bar3DChart>
      <c:catAx>
        <c:axId val="117403648"/>
        <c:scaling>
          <c:orientation val="minMax"/>
        </c:scaling>
        <c:delete val="0"/>
        <c:axPos val="l"/>
        <c:numFmt formatCode="General" sourceLinked="0"/>
        <c:majorTickMark val="none"/>
        <c:minorTickMark val="none"/>
        <c:tickLblPos val="nextTo"/>
        <c:txPr>
          <a:bodyPr/>
          <a:lstStyle/>
          <a:p>
            <a:pPr>
              <a:defRPr sz="800" b="1"/>
            </a:pPr>
            <a:endParaRPr lang="it-IT"/>
          </a:p>
        </c:txPr>
        <c:crossAx val="117405184"/>
        <c:crosses val="autoZero"/>
        <c:auto val="1"/>
        <c:lblAlgn val="ctr"/>
        <c:lblOffset val="100"/>
        <c:noMultiLvlLbl val="0"/>
      </c:catAx>
      <c:valAx>
        <c:axId val="11740518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117403648"/>
        <c:crosses val="autoZero"/>
        <c:crossBetween val="between"/>
      </c:valAx>
    </c:plotArea>
    <c:plotVisOnly val="1"/>
    <c:dispBlanksAs val="gap"/>
    <c:showDLblsOverMax val="0"/>
  </c:chart>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it-IT" sz="1400"/>
              <a:t>Mortalità</a:t>
            </a:r>
            <a:r>
              <a:rPr lang="it-IT" sz="1400" baseline="0"/>
              <a:t> Traumatismi -M</a:t>
            </a:r>
            <a:endParaRPr lang="it-IT" sz="1400"/>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TRAUMATISMI!$B$3</c:f>
              <c:strCache>
                <c:ptCount val="1"/>
                <c:pt idx="0">
                  <c:v>MASCHI</c:v>
                </c:pt>
              </c:strCache>
            </c:strRef>
          </c:tx>
          <c:dLbls>
            <c:numFmt formatCode="0.0%" sourceLinked="0"/>
            <c:showLegendKey val="0"/>
            <c:showVal val="0"/>
            <c:showCatName val="0"/>
            <c:showSerName val="0"/>
            <c:showPercent val="1"/>
            <c:showBubbleSize val="0"/>
            <c:showLeaderLines val="1"/>
          </c:dLbls>
          <c:cat>
            <c:strRef>
              <c:f>TRAUMATISMI!$A$5:$A$9</c:f>
              <c:strCache>
                <c:ptCount val="5"/>
                <c:pt idx="0">
                  <c:v>00-14</c:v>
                </c:pt>
                <c:pt idx="1">
                  <c:v>15-29</c:v>
                </c:pt>
                <c:pt idx="2">
                  <c:v>30-64</c:v>
                </c:pt>
                <c:pt idx="3">
                  <c:v>65-74</c:v>
                </c:pt>
                <c:pt idx="4">
                  <c:v>75+</c:v>
                </c:pt>
              </c:strCache>
            </c:strRef>
          </c:cat>
          <c:val>
            <c:numRef>
              <c:f>TRAUMATISMI!$C$5:$C$9</c:f>
              <c:numCache>
                <c:formatCode>General</c:formatCode>
                <c:ptCount val="5"/>
                <c:pt idx="0">
                  <c:v>0</c:v>
                </c:pt>
                <c:pt idx="1">
                  <c:v>7.0270270270270274E-2</c:v>
                </c:pt>
                <c:pt idx="2">
                  <c:v>0.4</c:v>
                </c:pt>
                <c:pt idx="3">
                  <c:v>0.11351351351351352</c:v>
                </c:pt>
                <c:pt idx="4">
                  <c:v>0.41621621621621624</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400"/>
            </a:pPr>
            <a:r>
              <a:rPr lang="it-IT" sz="1400"/>
              <a:t>Mortalità Traumatismi -F</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TRAUMATISMI!$D$3</c:f>
              <c:strCache>
                <c:ptCount val="1"/>
                <c:pt idx="0">
                  <c:v>FEMMINE</c:v>
                </c:pt>
              </c:strCache>
            </c:strRef>
          </c:tx>
          <c:dLbls>
            <c:dLbl>
              <c:idx val="0"/>
              <c:layout>
                <c:manualLayout>
                  <c:x val="-1.7064746172914928E-2"/>
                  <c:y val="-5.1146561417896717E-2"/>
                </c:manualLayout>
              </c:layout>
              <c:showLegendKey val="0"/>
              <c:showVal val="0"/>
              <c:showCatName val="0"/>
              <c:showSerName val="0"/>
              <c:showPercent val="1"/>
              <c:showBubbleSize val="0"/>
            </c:dLbl>
            <c:dLbl>
              <c:idx val="1"/>
              <c:layout>
                <c:manualLayout>
                  <c:x val="-3.4921893493786653E-2"/>
                  <c:y val="-4.7557507523589553E-2"/>
                </c:manualLayout>
              </c:layout>
              <c:showLegendKey val="0"/>
              <c:showVal val="0"/>
              <c:showCatName val="0"/>
              <c:showSerName val="0"/>
              <c:showPercent val="1"/>
              <c:showBubbleSize val="0"/>
            </c:dLbl>
            <c:dLbl>
              <c:idx val="2"/>
              <c:layout>
                <c:manualLayout>
                  <c:x val="-4.3072126752187667E-3"/>
                  <c:y val="-3.7347073098288927E-2"/>
                </c:manualLayout>
              </c:layout>
              <c:showLegendKey val="0"/>
              <c:showVal val="0"/>
              <c:showCatName val="0"/>
              <c:showSerName val="0"/>
              <c:showPercent val="1"/>
              <c:showBubbleSize val="0"/>
            </c:dLbl>
            <c:dLbl>
              <c:idx val="3"/>
              <c:layout>
                <c:manualLayout>
                  <c:x val="0.11493203722835577"/>
                  <c:y val="-3.7347073098288927E-2"/>
                </c:manualLayout>
              </c:layout>
              <c:showLegendKey val="0"/>
              <c:showVal val="0"/>
              <c:showCatName val="0"/>
              <c:showSerName val="0"/>
              <c:showPercent val="1"/>
              <c:showBubbleSize val="0"/>
            </c:dLbl>
            <c:numFmt formatCode="0.0%" sourceLinked="0"/>
            <c:showLegendKey val="0"/>
            <c:showVal val="0"/>
            <c:showCatName val="0"/>
            <c:showSerName val="0"/>
            <c:showPercent val="1"/>
            <c:showBubbleSize val="0"/>
            <c:showLeaderLines val="1"/>
          </c:dLbls>
          <c:cat>
            <c:strRef>
              <c:f>TRAUMATISMI!$A$5:$A$9</c:f>
              <c:strCache>
                <c:ptCount val="5"/>
                <c:pt idx="0">
                  <c:v>00-14</c:v>
                </c:pt>
                <c:pt idx="1">
                  <c:v>15-29</c:v>
                </c:pt>
                <c:pt idx="2">
                  <c:v>30-64</c:v>
                </c:pt>
                <c:pt idx="3">
                  <c:v>65-74</c:v>
                </c:pt>
                <c:pt idx="4">
                  <c:v>75+</c:v>
                </c:pt>
              </c:strCache>
            </c:strRef>
          </c:cat>
          <c:val>
            <c:numRef>
              <c:f>TRAUMATISMI!$E$5:$E$9</c:f>
              <c:numCache>
                <c:formatCode>General</c:formatCode>
                <c:ptCount val="5"/>
                <c:pt idx="0">
                  <c:v>8.771929824561403E-3</c:v>
                </c:pt>
                <c:pt idx="1">
                  <c:v>3.5087719298245612E-2</c:v>
                </c:pt>
                <c:pt idx="2">
                  <c:v>7.8947368421052627E-2</c:v>
                </c:pt>
                <c:pt idx="3">
                  <c:v>7.8947368421052627E-2</c:v>
                </c:pt>
                <c:pt idx="4">
                  <c:v>0.79824561403508776</c:v>
                </c:pt>
              </c:numCache>
            </c:numRef>
          </c:val>
        </c:ser>
        <c:dLbls>
          <c:showLegendKey val="0"/>
          <c:showVal val="0"/>
          <c:showCatName val="0"/>
          <c:showSerName val="0"/>
          <c:showPercent val="1"/>
          <c:showBubbleSize val="0"/>
          <c:showLeaderLines val="1"/>
        </c:dLbls>
      </c:pie3DChart>
    </c:plotArea>
    <c:legend>
      <c:legendPos val="b"/>
      <c:overlay val="0"/>
    </c:legend>
    <c:plotVisOnly val="1"/>
    <c:dispBlanksAs val="gap"/>
    <c:showDLblsOverMax val="0"/>
  </c:chart>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Mortalità Traumatismi -M</a:t>
            </a:r>
          </a:p>
        </c:rich>
      </c:tx>
      <c:overlay val="0"/>
    </c:title>
    <c:autoTitleDeleted val="0"/>
    <c:plotArea>
      <c:layout/>
      <c:lineChart>
        <c:grouping val="standard"/>
        <c:varyColors val="0"/>
        <c:ser>
          <c:idx val="0"/>
          <c:order val="0"/>
          <c:tx>
            <c:strRef>
              <c:f>traumatismi!$B$3</c:f>
              <c:strCache>
                <c:ptCount val="1"/>
                <c:pt idx="0">
                  <c:v>ATS</c:v>
                </c:pt>
              </c:strCache>
            </c:strRef>
          </c:tx>
          <c:spPr>
            <a:ln>
              <a:solidFill>
                <a:schemeClr val="accent1"/>
              </a:solidFill>
            </a:ln>
          </c:spPr>
          <c:marker>
            <c:symbol val="none"/>
          </c:marker>
          <c:cat>
            <c:numRef>
              <c:f>traumatismi!$A$4:$A$12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traumatismi!$B$4:$B$12</c:f>
              <c:numCache>
                <c:formatCode>0.00</c:formatCode>
                <c:ptCount val="9"/>
                <c:pt idx="0">
                  <c:v>5.3477746068763299</c:v>
                </c:pt>
                <c:pt idx="1">
                  <c:v>5.2734595735707064</c:v>
                </c:pt>
                <c:pt idx="2">
                  <c:v>5.4460171814775578</c:v>
                </c:pt>
                <c:pt idx="3">
                  <c:v>5.3345881678353804</c:v>
                </c:pt>
                <c:pt idx="4">
                  <c:v>5.1089352428033843</c:v>
                </c:pt>
                <c:pt idx="5">
                  <c:v>4.7735240206441558</c:v>
                </c:pt>
                <c:pt idx="6">
                  <c:v>4.5632089505209681</c:v>
                </c:pt>
                <c:pt idx="7">
                  <c:v>4.90939881924308</c:v>
                </c:pt>
                <c:pt idx="8">
                  <c:v>4.6579200290533018</c:v>
                </c:pt>
              </c:numCache>
            </c:numRef>
          </c:val>
          <c:smooth val="0"/>
        </c:ser>
        <c:ser>
          <c:idx val="1"/>
          <c:order val="1"/>
          <c:tx>
            <c:strRef>
              <c:f>traumatismi!$C$3</c:f>
              <c:strCache>
                <c:ptCount val="1"/>
                <c:pt idx="0">
                  <c:v>Lombardia</c:v>
                </c:pt>
              </c:strCache>
            </c:strRef>
          </c:tx>
          <c:marker>
            <c:symbol val="none"/>
          </c:marker>
          <c:cat>
            <c:numRef>
              <c:f>traumatismi!$A$4:$A$12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traumatismi!$C$4:$C$12</c:f>
              <c:numCache>
                <c:formatCode>General</c:formatCode>
                <c:ptCount val="9"/>
                <c:pt idx="0">
                  <c:v>5</c:v>
                </c:pt>
                <c:pt idx="1">
                  <c:v>4.71</c:v>
                </c:pt>
                <c:pt idx="2">
                  <c:v>4.6399999999999997</c:v>
                </c:pt>
                <c:pt idx="3">
                  <c:v>4.5</c:v>
                </c:pt>
                <c:pt idx="4">
                  <c:v>4.41</c:v>
                </c:pt>
                <c:pt idx="5">
                  <c:v>4.33</c:v>
                </c:pt>
                <c:pt idx="6">
                  <c:v>4.0999999999999996</c:v>
                </c:pt>
                <c:pt idx="7">
                  <c:v>3.91</c:v>
                </c:pt>
              </c:numCache>
            </c:numRef>
          </c:val>
          <c:smooth val="0"/>
        </c:ser>
        <c:ser>
          <c:idx val="2"/>
          <c:order val="2"/>
          <c:tx>
            <c:strRef>
              <c:f>traumatismi!$D$3</c:f>
              <c:strCache>
                <c:ptCount val="1"/>
                <c:pt idx="0">
                  <c:v>Italia</c:v>
                </c:pt>
              </c:strCache>
            </c:strRef>
          </c:tx>
          <c:marker>
            <c:symbol val="none"/>
          </c:marker>
          <c:cat>
            <c:numRef>
              <c:f>traumatismi!$A$4:$A$12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traumatismi!$D$4:$D$12</c:f>
              <c:numCache>
                <c:formatCode>General</c:formatCode>
                <c:ptCount val="9"/>
                <c:pt idx="0">
                  <c:v>5.29</c:v>
                </c:pt>
                <c:pt idx="1">
                  <c:v>5.13</c:v>
                </c:pt>
                <c:pt idx="2">
                  <c:v>5.0599999999999996</c:v>
                </c:pt>
                <c:pt idx="3">
                  <c:v>4.78</c:v>
                </c:pt>
                <c:pt idx="4">
                  <c:v>4.76</c:v>
                </c:pt>
                <c:pt idx="5">
                  <c:v>4.67</c:v>
                </c:pt>
                <c:pt idx="6">
                  <c:v>4.42</c:v>
                </c:pt>
                <c:pt idx="7">
                  <c:v>4.29</c:v>
                </c:pt>
              </c:numCache>
            </c:numRef>
          </c:val>
          <c:smooth val="0"/>
        </c:ser>
        <c:dLbls>
          <c:showLegendKey val="0"/>
          <c:showVal val="0"/>
          <c:showCatName val="0"/>
          <c:showSerName val="0"/>
          <c:showPercent val="0"/>
          <c:showBubbleSize val="0"/>
        </c:dLbls>
        <c:marker val="1"/>
        <c:smooth val="0"/>
        <c:axId val="117301632"/>
        <c:axId val="117303168"/>
      </c:lineChart>
      <c:catAx>
        <c:axId val="117301632"/>
        <c:scaling>
          <c:orientation val="minMax"/>
        </c:scaling>
        <c:delete val="0"/>
        <c:axPos val="b"/>
        <c:numFmt formatCode="General" sourceLinked="1"/>
        <c:majorTickMark val="none"/>
        <c:minorTickMark val="none"/>
        <c:tickLblPos val="nextTo"/>
        <c:crossAx val="117303168"/>
        <c:crosses val="autoZero"/>
        <c:auto val="1"/>
        <c:lblAlgn val="ctr"/>
        <c:lblOffset val="100"/>
        <c:noMultiLvlLbl val="0"/>
      </c:catAx>
      <c:valAx>
        <c:axId val="117303168"/>
        <c:scaling>
          <c:orientation val="minMax"/>
        </c:scaling>
        <c:delete val="0"/>
        <c:axPos val="l"/>
        <c:majorGridlines/>
        <c:numFmt formatCode="0" sourceLinked="0"/>
        <c:majorTickMark val="none"/>
        <c:minorTickMark val="none"/>
        <c:tickLblPos val="nextTo"/>
        <c:spPr>
          <a:ln w="9525">
            <a:noFill/>
          </a:ln>
        </c:spPr>
        <c:crossAx val="117301632"/>
        <c:crosses val="autoZero"/>
        <c:crossBetween val="between"/>
      </c:valAx>
      <c:spPr>
        <a:ln>
          <a:solidFill>
            <a:schemeClr val="bg1">
              <a:lumMod val="50000"/>
            </a:schemeClr>
          </a:solidFill>
        </a:ln>
      </c:spPr>
    </c:plotArea>
    <c:legend>
      <c:legendPos val="b"/>
      <c:overlay val="0"/>
    </c:legend>
    <c:plotVisOnly val="1"/>
    <c:dispBlanksAs val="gap"/>
    <c:showDLblsOverMax val="0"/>
  </c:chart>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b="1" i="0" u="none" strike="noStrike" baseline="0">
                <a:effectLst/>
              </a:rPr>
              <a:t>Mortalità Traumatismi -F</a:t>
            </a:r>
            <a:endParaRPr lang="en-US" sz="1400"/>
          </a:p>
        </c:rich>
      </c:tx>
      <c:overlay val="0"/>
    </c:title>
    <c:autoTitleDeleted val="0"/>
    <c:plotArea>
      <c:layout/>
      <c:lineChart>
        <c:grouping val="standard"/>
        <c:varyColors val="0"/>
        <c:ser>
          <c:idx val="0"/>
          <c:order val="0"/>
          <c:tx>
            <c:strRef>
              <c:f>traumatismi!$B$3</c:f>
              <c:strCache>
                <c:ptCount val="1"/>
                <c:pt idx="0">
                  <c:v>ATS</c:v>
                </c:pt>
              </c:strCache>
            </c:strRef>
          </c:tx>
          <c:spPr>
            <a:ln>
              <a:solidFill>
                <a:schemeClr val="accent1"/>
              </a:solidFill>
            </a:ln>
          </c:spPr>
          <c:marker>
            <c:symbol val="none"/>
          </c:marker>
          <c:cat>
            <c:numRef>
              <c:f>traumatismi!$A$4:$A$12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traumatismi!$M$4:$M$12</c:f>
              <c:numCache>
                <c:formatCode>0.00</c:formatCode>
                <c:ptCount val="9"/>
                <c:pt idx="0">
                  <c:v>1.9996184630938965</c:v>
                </c:pt>
                <c:pt idx="1">
                  <c:v>1.9543622032840628</c:v>
                </c:pt>
                <c:pt idx="2">
                  <c:v>1.7163822866035559</c:v>
                </c:pt>
                <c:pt idx="3">
                  <c:v>2.0183302589877097</c:v>
                </c:pt>
                <c:pt idx="4">
                  <c:v>1.8574615908867529</c:v>
                </c:pt>
                <c:pt idx="5">
                  <c:v>2.4821854178040037</c:v>
                </c:pt>
                <c:pt idx="6">
                  <c:v>1.6223052339004904</c:v>
                </c:pt>
                <c:pt idx="7">
                  <c:v>1.921070049333609</c:v>
                </c:pt>
                <c:pt idx="8">
                  <c:v>1.6855325174598712</c:v>
                </c:pt>
              </c:numCache>
            </c:numRef>
          </c:val>
          <c:smooth val="0"/>
        </c:ser>
        <c:ser>
          <c:idx val="1"/>
          <c:order val="1"/>
          <c:tx>
            <c:strRef>
              <c:f>traumatismi!$C$3</c:f>
              <c:strCache>
                <c:ptCount val="1"/>
                <c:pt idx="0">
                  <c:v>Lombardia</c:v>
                </c:pt>
              </c:strCache>
            </c:strRef>
          </c:tx>
          <c:marker>
            <c:symbol val="none"/>
          </c:marker>
          <c:cat>
            <c:numRef>
              <c:f>traumatismi!$A$4:$A$12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traumatismi!$N$4:$N$12</c:f>
              <c:numCache>
                <c:formatCode>General</c:formatCode>
                <c:ptCount val="9"/>
                <c:pt idx="0">
                  <c:v>2.2000000000000002</c:v>
                </c:pt>
                <c:pt idx="1">
                  <c:v>2.25</c:v>
                </c:pt>
                <c:pt idx="2">
                  <c:v>2.06</c:v>
                </c:pt>
                <c:pt idx="3">
                  <c:v>2.09</c:v>
                </c:pt>
                <c:pt idx="4">
                  <c:v>1.93</c:v>
                </c:pt>
                <c:pt idx="5">
                  <c:v>1.92</c:v>
                </c:pt>
                <c:pt idx="6">
                  <c:v>1.83</c:v>
                </c:pt>
                <c:pt idx="7">
                  <c:v>1.88</c:v>
                </c:pt>
              </c:numCache>
            </c:numRef>
          </c:val>
          <c:smooth val="0"/>
        </c:ser>
        <c:ser>
          <c:idx val="2"/>
          <c:order val="2"/>
          <c:tx>
            <c:strRef>
              <c:f>traumatismi!$O$3</c:f>
              <c:strCache>
                <c:ptCount val="1"/>
                <c:pt idx="0">
                  <c:v>Italia</c:v>
                </c:pt>
              </c:strCache>
            </c:strRef>
          </c:tx>
          <c:marker>
            <c:symbol val="none"/>
          </c:marker>
          <c:cat>
            <c:numRef>
              <c:f>traumatismi!$A$4:$A$12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traumatismi!$O$4:$O$12</c:f>
              <c:numCache>
                <c:formatCode>General</c:formatCode>
                <c:ptCount val="9"/>
                <c:pt idx="0">
                  <c:v>2.37</c:v>
                </c:pt>
                <c:pt idx="1">
                  <c:v>2.33</c:v>
                </c:pt>
                <c:pt idx="2">
                  <c:v>2.36</c:v>
                </c:pt>
                <c:pt idx="3">
                  <c:v>2.2400000000000002</c:v>
                </c:pt>
                <c:pt idx="4">
                  <c:v>2.15</c:v>
                </c:pt>
                <c:pt idx="5">
                  <c:v>2.16</c:v>
                </c:pt>
                <c:pt idx="6">
                  <c:v>2.0699999999999998</c:v>
                </c:pt>
                <c:pt idx="7">
                  <c:v>2</c:v>
                </c:pt>
              </c:numCache>
            </c:numRef>
          </c:val>
          <c:smooth val="0"/>
        </c:ser>
        <c:dLbls>
          <c:showLegendKey val="0"/>
          <c:showVal val="0"/>
          <c:showCatName val="0"/>
          <c:showSerName val="0"/>
          <c:showPercent val="0"/>
          <c:showBubbleSize val="0"/>
        </c:dLbls>
        <c:marker val="1"/>
        <c:smooth val="0"/>
        <c:axId val="117206400"/>
        <c:axId val="117212288"/>
      </c:lineChart>
      <c:catAx>
        <c:axId val="117206400"/>
        <c:scaling>
          <c:orientation val="minMax"/>
        </c:scaling>
        <c:delete val="0"/>
        <c:axPos val="b"/>
        <c:numFmt formatCode="General" sourceLinked="1"/>
        <c:majorTickMark val="none"/>
        <c:minorTickMark val="none"/>
        <c:tickLblPos val="nextTo"/>
        <c:crossAx val="117212288"/>
        <c:crosses val="autoZero"/>
        <c:auto val="1"/>
        <c:lblAlgn val="ctr"/>
        <c:lblOffset val="100"/>
        <c:noMultiLvlLbl val="0"/>
      </c:catAx>
      <c:valAx>
        <c:axId val="117212288"/>
        <c:scaling>
          <c:orientation val="minMax"/>
          <c:max val="6"/>
        </c:scaling>
        <c:delete val="0"/>
        <c:axPos val="l"/>
        <c:majorGridlines/>
        <c:numFmt formatCode="0" sourceLinked="0"/>
        <c:majorTickMark val="none"/>
        <c:minorTickMark val="none"/>
        <c:tickLblPos val="nextTo"/>
        <c:spPr>
          <a:ln w="9525">
            <a:noFill/>
          </a:ln>
        </c:spPr>
        <c:crossAx val="117206400"/>
        <c:crosses val="autoZero"/>
        <c:crossBetween val="between"/>
        <c:majorUnit val="1"/>
      </c:valAx>
      <c:spPr>
        <a:ln>
          <a:solidFill>
            <a:schemeClr val="bg1">
              <a:lumMod val="50000"/>
            </a:schemeClr>
          </a:solidFill>
        </a:ln>
      </c:spPr>
    </c:plotArea>
    <c:legend>
      <c:legendPos val="b"/>
      <c:overlay val="0"/>
    </c:legend>
    <c:plotVisOnly val="1"/>
    <c:dispBlanksAs val="gap"/>
    <c:showDLblsOverMax val="0"/>
  </c:chart>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txPr>
              <a:bodyPr/>
              <a:lstStyle/>
              <a:p>
                <a:pPr>
                  <a:defRPr sz="1200" b="1"/>
                </a:pPr>
                <a:endParaRPr lang="it-IT"/>
              </a:p>
            </c:txPr>
            <c:dLblPos val="outEnd"/>
            <c:showLegendKey val="0"/>
            <c:showVal val="1"/>
            <c:showCatName val="0"/>
            <c:showSerName val="0"/>
            <c:showPercent val="0"/>
            <c:showBubbleSize val="0"/>
            <c:showLeaderLines val="1"/>
            <c:extLst>
              <c:ext xmlns:c15="http://schemas.microsoft.com/office/drawing/2012/chart" uri="{CE6537A1-D6FC-4f65-9D91-7224C49458BB}"/>
            </c:extLst>
          </c:dLbls>
          <c:cat>
            <c:strRef>
              <c:f>'le nostre mamme CR'!$R$52:$S$52</c:f>
              <c:strCache>
                <c:ptCount val="2"/>
                <c:pt idx="0">
                  <c:v>Italiane</c:v>
                </c:pt>
                <c:pt idx="1">
                  <c:v>Straniere</c:v>
                </c:pt>
              </c:strCache>
            </c:strRef>
          </c:cat>
          <c:val>
            <c:numRef>
              <c:f>'le nostre mamme CR'!$R$53:$S$53</c:f>
              <c:numCache>
                <c:formatCode>0%</c:formatCode>
                <c:ptCount val="2"/>
                <c:pt idx="0">
                  <c:v>0.8</c:v>
                </c:pt>
                <c:pt idx="1">
                  <c:v>0.2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2943667979002624"/>
          <c:y val="0.33245413554074971"/>
          <c:w val="0.27056332020997376"/>
          <c:h val="0.28039033582340667"/>
        </c:manualLayout>
      </c:layout>
      <c:overlay val="0"/>
      <c:txPr>
        <a:bodyPr/>
        <a:lstStyle/>
        <a:p>
          <a:pPr>
            <a:defRPr sz="1200" b="1"/>
          </a:pPr>
          <a:endParaRPr lang="it-IT"/>
        </a:p>
      </c:txPr>
    </c:legend>
    <c:plotVisOnly val="1"/>
    <c:dispBlanksAs val="gap"/>
    <c:showDLblsOverMax val="0"/>
  </c:chart>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tx>
                <c:rich>
                  <a:bodyPr/>
                  <a:lstStyle/>
                  <a:p>
                    <a:r>
                      <a:rPr lang="en-US"/>
                      <a:t>65%</a:t>
                    </a:r>
                  </a:p>
                </c:rich>
              </c:tx>
              <c:dLblPos val="outEnd"/>
              <c:showLegendKey val="0"/>
              <c:showVal val="1"/>
              <c:showCatName val="0"/>
              <c:showSerName val="0"/>
              <c:showPercent val="1"/>
              <c:showBubbleSize val="0"/>
            </c:dLbl>
            <c:dLbl>
              <c:idx val="1"/>
              <c:tx>
                <c:rich>
                  <a:bodyPr/>
                  <a:lstStyle/>
                  <a:p>
                    <a:r>
                      <a:rPr lang="en-US"/>
                      <a:t>35%</a:t>
                    </a:r>
                  </a:p>
                </c:rich>
              </c:tx>
              <c:dLblPos val="outEnd"/>
              <c:showLegendKey val="0"/>
              <c:showVal val="1"/>
              <c:showCatName val="0"/>
              <c:showSerName val="0"/>
              <c:showPercent val="1"/>
              <c:showBubbleSize val="0"/>
            </c:dLbl>
            <c:spPr>
              <a:noFill/>
              <a:ln>
                <a:noFill/>
              </a:ln>
              <a:effectLst/>
            </c:spPr>
            <c:txPr>
              <a:bodyPr/>
              <a:lstStyle/>
              <a:p>
                <a:pPr>
                  <a:defRPr sz="1200" b="1"/>
                </a:pPr>
                <a:endParaRPr lang="it-IT"/>
              </a:p>
            </c:txPr>
            <c:dLblPos val="outEnd"/>
            <c:showLegendKey val="0"/>
            <c:showVal val="1"/>
            <c:showCatName val="0"/>
            <c:showSerName val="0"/>
            <c:showPercent val="1"/>
            <c:showBubbleSize val="0"/>
            <c:showLeaderLines val="1"/>
            <c:extLst>
              <c:ext xmlns:c15="http://schemas.microsoft.com/office/drawing/2012/chart" uri="{CE6537A1-D6FC-4f65-9D91-7224C49458BB}"/>
            </c:extLst>
          </c:dLbls>
          <c:cat>
            <c:strRef>
              <c:f>'le nostre mamme CR'!$R$25:$S$25</c:f>
              <c:strCache>
                <c:ptCount val="2"/>
                <c:pt idx="0">
                  <c:v>%M_IT</c:v>
                </c:pt>
                <c:pt idx="1">
                  <c:v>%M_STR</c:v>
                </c:pt>
              </c:strCache>
            </c:strRef>
          </c:cat>
          <c:val>
            <c:numRef>
              <c:f>'le nostre mamme CR'!$R$26:$S$26</c:f>
              <c:numCache>
                <c:formatCode>0.0</c:formatCode>
                <c:ptCount val="2"/>
                <c:pt idx="0">
                  <c:v>64.913168099814527</c:v>
                </c:pt>
                <c:pt idx="1">
                  <c:v>35.086831900185466</c:v>
                </c:pt>
              </c:numCache>
            </c:numRef>
          </c:val>
        </c:ser>
        <c:dLbls>
          <c:showLegendKey val="0"/>
          <c:showVal val="0"/>
          <c:showCatName val="0"/>
          <c:showSerName val="0"/>
          <c:showPercent val="0"/>
          <c:showBubbleSize val="0"/>
          <c:showLeaderLines val="1"/>
        </c:dLbls>
      </c:pie3DChart>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Incidenza T. polmone</a:t>
            </a:r>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Tumori'!$K$478</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Tumori'!$J$479:$J$481</c:f>
              <c:strCache>
                <c:ptCount val="3"/>
                <c:pt idx="0">
                  <c:v>MANTOVA</c:v>
                </c:pt>
                <c:pt idx="1">
                  <c:v>CREMONA</c:v>
                </c:pt>
                <c:pt idx="2">
                  <c:v>CREMA</c:v>
                </c:pt>
              </c:strCache>
            </c:strRef>
          </c:cat>
          <c:val>
            <c:numRef>
              <c:f>'Incidenza Tumori'!$K$479:$K$481</c:f>
              <c:numCache>
                <c:formatCode>0.0</c:formatCode>
                <c:ptCount val="3"/>
                <c:pt idx="0">
                  <c:v>33.51</c:v>
                </c:pt>
                <c:pt idx="1">
                  <c:v>32.75</c:v>
                </c:pt>
                <c:pt idx="2">
                  <c:v>34.11</c:v>
                </c:pt>
              </c:numCache>
            </c:numRef>
          </c:val>
        </c:ser>
        <c:ser>
          <c:idx val="1"/>
          <c:order val="1"/>
          <c:tx>
            <c:strRef>
              <c:f>'Incidenza Tumori'!$L$478</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Tumori'!$J$479:$J$481</c:f>
              <c:strCache>
                <c:ptCount val="3"/>
                <c:pt idx="0">
                  <c:v>MANTOVA</c:v>
                </c:pt>
                <c:pt idx="1">
                  <c:v>CREMONA</c:v>
                </c:pt>
                <c:pt idx="2">
                  <c:v>CREMA</c:v>
                </c:pt>
              </c:strCache>
            </c:strRef>
          </c:cat>
          <c:val>
            <c:numRef>
              <c:f>'Incidenza Tumori'!$L$479:$L$481</c:f>
              <c:numCache>
                <c:formatCode>0.0</c:formatCode>
                <c:ptCount val="3"/>
                <c:pt idx="0">
                  <c:v>136.22</c:v>
                </c:pt>
                <c:pt idx="1">
                  <c:v>133.06</c:v>
                </c:pt>
                <c:pt idx="2">
                  <c:v>128.34</c:v>
                </c:pt>
              </c:numCache>
            </c:numRef>
          </c:val>
        </c:ser>
        <c:dLbls>
          <c:showLegendKey val="0"/>
          <c:showVal val="0"/>
          <c:showCatName val="0"/>
          <c:showSerName val="0"/>
          <c:showPercent val="0"/>
          <c:showBubbleSize val="0"/>
        </c:dLbls>
        <c:gapWidth val="150"/>
        <c:shape val="box"/>
        <c:axId val="83364864"/>
        <c:axId val="83387136"/>
        <c:axId val="0"/>
      </c:bar3DChart>
      <c:catAx>
        <c:axId val="83364864"/>
        <c:scaling>
          <c:orientation val="minMax"/>
        </c:scaling>
        <c:delete val="0"/>
        <c:axPos val="l"/>
        <c:majorTickMark val="none"/>
        <c:minorTickMark val="none"/>
        <c:tickLblPos val="nextTo"/>
        <c:txPr>
          <a:bodyPr/>
          <a:lstStyle/>
          <a:p>
            <a:pPr>
              <a:defRPr sz="800" b="1"/>
            </a:pPr>
            <a:endParaRPr lang="it-IT"/>
          </a:p>
        </c:txPr>
        <c:crossAx val="83387136"/>
        <c:crosses val="autoZero"/>
        <c:auto val="1"/>
        <c:lblAlgn val="ctr"/>
        <c:lblOffset val="100"/>
        <c:noMultiLvlLbl val="0"/>
      </c:catAx>
      <c:valAx>
        <c:axId val="8338713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83364864"/>
        <c:crosses val="autoZero"/>
        <c:crossBetween val="between"/>
      </c:valAx>
    </c:plotArea>
    <c:plotVisOnly val="1"/>
    <c:dispBlanksAs val="gap"/>
    <c:showDLblsOverMax val="0"/>
  </c:chart>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it-IT" sz="1100"/>
              <a:t>Trend % di nati stranieri </a:t>
            </a:r>
          </a:p>
        </c:rich>
      </c:tx>
      <c:overlay val="0"/>
    </c:title>
    <c:autoTitleDeleted val="0"/>
    <c:plotArea>
      <c:layout/>
      <c:lineChart>
        <c:grouping val="standard"/>
        <c:varyColors val="0"/>
        <c:ser>
          <c:idx val="0"/>
          <c:order val="0"/>
          <c:tx>
            <c:strRef>
              <c:f>NATI_percentuali!$B$16</c:f>
              <c:strCache>
                <c:ptCount val="1"/>
                <c:pt idx="0">
                  <c:v>ITALIA</c:v>
                </c:pt>
              </c:strCache>
            </c:strRef>
          </c:tx>
          <c:cat>
            <c:numRef>
              <c:f>NATI_percentuali!$A$17:$A$26</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NATI_percentuali!$B$17:$B$26</c:f>
              <c:numCache>
                <c:formatCode>0.0</c:formatCode>
                <c:ptCount val="10"/>
                <c:pt idx="0">
                  <c:v>9.3806744136514428</c:v>
                </c:pt>
                <c:pt idx="1">
                  <c:v>10.314994375100445</c:v>
                </c:pt>
                <c:pt idx="2">
                  <c:v>11.357554886839393</c:v>
                </c:pt>
                <c:pt idx="3">
                  <c:v>12.567565927177066</c:v>
                </c:pt>
                <c:pt idx="4">
                  <c:v>13.555076231812214</c:v>
                </c:pt>
                <c:pt idx="5">
                  <c:v>13.894978859103398</c:v>
                </c:pt>
                <c:pt idx="6">
                  <c:v>14.466917313867011</c:v>
                </c:pt>
                <c:pt idx="7">
                  <c:v>14.956213753261974</c:v>
                </c:pt>
                <c:pt idx="8">
                  <c:v>15.10865084735217</c:v>
                </c:pt>
                <c:pt idx="9">
                  <c:v>14.93585305095942</c:v>
                </c:pt>
              </c:numCache>
            </c:numRef>
          </c:val>
          <c:smooth val="0"/>
        </c:ser>
        <c:ser>
          <c:idx val="1"/>
          <c:order val="1"/>
          <c:tx>
            <c:strRef>
              <c:f>NATI_percentuali!$C$16</c:f>
              <c:strCache>
                <c:ptCount val="1"/>
                <c:pt idx="0">
                  <c:v>LOMBARDIA</c:v>
                </c:pt>
              </c:strCache>
            </c:strRef>
          </c:tx>
          <c:cat>
            <c:numRef>
              <c:f>NATI_percentuali!$A$17:$A$26</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NATI_percentuali!$C$17:$C$26</c:f>
              <c:numCache>
                <c:formatCode>0.0</c:formatCode>
                <c:ptCount val="10"/>
                <c:pt idx="0">
                  <c:v>15.321150519031143</c:v>
                </c:pt>
                <c:pt idx="1">
                  <c:v>16.93850098785153</c:v>
                </c:pt>
                <c:pt idx="2">
                  <c:v>18.032820938928126</c:v>
                </c:pt>
                <c:pt idx="3">
                  <c:v>19.389492459867032</c:v>
                </c:pt>
                <c:pt idx="4">
                  <c:v>21.31852781601749</c:v>
                </c:pt>
                <c:pt idx="5">
                  <c:v>21.806471400092011</c:v>
                </c:pt>
                <c:pt idx="6">
                  <c:v>22.061246399302714</c:v>
                </c:pt>
                <c:pt idx="7">
                  <c:v>22.474345846314733</c:v>
                </c:pt>
                <c:pt idx="8">
                  <c:v>22.644497228820267</c:v>
                </c:pt>
                <c:pt idx="9">
                  <c:v>22.513016152784704</c:v>
                </c:pt>
              </c:numCache>
            </c:numRef>
          </c:val>
          <c:smooth val="0"/>
        </c:ser>
        <c:ser>
          <c:idx val="2"/>
          <c:order val="2"/>
          <c:tx>
            <c:strRef>
              <c:f>NATI_percentuali!$D$16</c:f>
              <c:strCache>
                <c:ptCount val="1"/>
                <c:pt idx="0">
                  <c:v>MANTOVA </c:v>
                </c:pt>
              </c:strCache>
            </c:strRef>
          </c:tx>
          <c:cat>
            <c:numRef>
              <c:f>NATI_percentuali!$A$17:$A$26</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NATI_percentuali!$D$17:$D$26</c:f>
              <c:numCache>
                <c:formatCode>0.0</c:formatCode>
                <c:ptCount val="10"/>
                <c:pt idx="0">
                  <c:v>21.023513139695712</c:v>
                </c:pt>
                <c:pt idx="1">
                  <c:v>23.504273504273502</c:v>
                </c:pt>
                <c:pt idx="2">
                  <c:v>26.64835164835165</c:v>
                </c:pt>
                <c:pt idx="3">
                  <c:v>28.282329713721623</c:v>
                </c:pt>
                <c:pt idx="4">
                  <c:v>29.113312394298141</c:v>
                </c:pt>
                <c:pt idx="5">
                  <c:v>28.299614643545279</c:v>
                </c:pt>
                <c:pt idx="6">
                  <c:v>29.959616355376074</c:v>
                </c:pt>
                <c:pt idx="7">
                  <c:v>29.864130434782609</c:v>
                </c:pt>
                <c:pt idx="8">
                  <c:v>29.037565122018101</c:v>
                </c:pt>
                <c:pt idx="9">
                  <c:v>27.831807780320368</c:v>
                </c:pt>
              </c:numCache>
            </c:numRef>
          </c:val>
          <c:smooth val="0"/>
        </c:ser>
        <c:ser>
          <c:idx val="3"/>
          <c:order val="3"/>
          <c:tx>
            <c:strRef>
              <c:f>NATI_percentuali!$E$16</c:f>
              <c:strCache>
                <c:ptCount val="1"/>
                <c:pt idx="0">
                  <c:v>CREMONA</c:v>
                </c:pt>
              </c:strCache>
            </c:strRef>
          </c:tx>
          <c:cat>
            <c:numRef>
              <c:f>NATI_percentuali!$A$17:$A$26</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NATI_percentuali!$E$17:$E$26</c:f>
              <c:numCache>
                <c:formatCode>0.0</c:formatCode>
                <c:ptCount val="10"/>
                <c:pt idx="0">
                  <c:v>17.399804496578692</c:v>
                </c:pt>
                <c:pt idx="1">
                  <c:v>18.996415770609318</c:v>
                </c:pt>
                <c:pt idx="2">
                  <c:v>21.837302814723166</c:v>
                </c:pt>
                <c:pt idx="3">
                  <c:v>25.435034802784223</c:v>
                </c:pt>
                <c:pt idx="4">
                  <c:v>26.348364279398762</c:v>
                </c:pt>
                <c:pt idx="5">
                  <c:v>26.352163461538463</c:v>
                </c:pt>
                <c:pt idx="6">
                  <c:v>26.144000000000002</c:v>
                </c:pt>
                <c:pt idx="7">
                  <c:v>25.28</c:v>
                </c:pt>
                <c:pt idx="8">
                  <c:v>25.275482093663911</c:v>
                </c:pt>
                <c:pt idx="9">
                  <c:v>25.598904859685145</c:v>
                </c:pt>
              </c:numCache>
            </c:numRef>
          </c:val>
          <c:smooth val="0"/>
        </c:ser>
        <c:dLbls>
          <c:showLegendKey val="0"/>
          <c:showVal val="0"/>
          <c:showCatName val="0"/>
          <c:showSerName val="0"/>
          <c:showPercent val="0"/>
          <c:showBubbleSize val="0"/>
        </c:dLbls>
        <c:marker val="1"/>
        <c:smooth val="0"/>
        <c:axId val="118854400"/>
        <c:axId val="118855936"/>
      </c:lineChart>
      <c:catAx>
        <c:axId val="118854400"/>
        <c:scaling>
          <c:orientation val="minMax"/>
        </c:scaling>
        <c:delete val="0"/>
        <c:axPos val="b"/>
        <c:numFmt formatCode="General" sourceLinked="1"/>
        <c:majorTickMark val="none"/>
        <c:minorTickMark val="none"/>
        <c:tickLblPos val="nextTo"/>
        <c:txPr>
          <a:bodyPr/>
          <a:lstStyle/>
          <a:p>
            <a:pPr>
              <a:defRPr sz="800"/>
            </a:pPr>
            <a:endParaRPr lang="it-IT"/>
          </a:p>
        </c:txPr>
        <c:crossAx val="118855936"/>
        <c:crosses val="autoZero"/>
        <c:auto val="1"/>
        <c:lblAlgn val="ctr"/>
        <c:lblOffset val="100"/>
        <c:noMultiLvlLbl val="0"/>
      </c:catAx>
      <c:valAx>
        <c:axId val="118855936"/>
        <c:scaling>
          <c:orientation val="minMax"/>
        </c:scaling>
        <c:delete val="0"/>
        <c:axPos val="l"/>
        <c:majorGridlines/>
        <c:numFmt formatCode="0.0" sourceLinked="1"/>
        <c:majorTickMark val="none"/>
        <c:minorTickMark val="none"/>
        <c:tickLblPos val="nextTo"/>
        <c:txPr>
          <a:bodyPr/>
          <a:lstStyle/>
          <a:p>
            <a:pPr>
              <a:defRPr sz="800"/>
            </a:pPr>
            <a:endParaRPr lang="it-IT"/>
          </a:p>
        </c:txPr>
        <c:crossAx val="118854400"/>
        <c:crosses val="autoZero"/>
        <c:crossBetween val="between"/>
      </c:valAx>
    </c:plotArea>
    <c:legend>
      <c:legendPos val="b"/>
      <c:overlay val="0"/>
      <c:txPr>
        <a:bodyPr/>
        <a:lstStyle/>
        <a:p>
          <a:pPr>
            <a:defRPr sz="800"/>
          </a:pPr>
          <a:endParaRPr lang="it-IT"/>
        </a:p>
      </c:txPr>
    </c:legend>
    <c:plotVisOnly val="1"/>
    <c:dispBlanksAs val="zero"/>
    <c:showDLblsOverMax val="0"/>
  </c:chart>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it-IT" sz="1100"/>
              <a:t>Tasso IVG totale</a:t>
            </a:r>
          </a:p>
        </c:rich>
      </c:tx>
      <c:overlay val="0"/>
    </c:title>
    <c:autoTitleDeleted val="0"/>
    <c:plotArea>
      <c:layout/>
      <c:lineChart>
        <c:grouping val="standard"/>
        <c:varyColors val="0"/>
        <c:ser>
          <c:idx val="0"/>
          <c:order val="0"/>
          <c:tx>
            <c:strRef>
              <c:f>IVG_!$C$19</c:f>
              <c:strCache>
                <c:ptCount val="1"/>
                <c:pt idx="0">
                  <c:v>CR</c:v>
                </c:pt>
              </c:strCache>
            </c:strRef>
          </c:tx>
          <c:cat>
            <c:strRef>
              <c:f>IVG_!$B$20:$B$24</c:f>
              <c:strCache>
                <c:ptCount val="5"/>
                <c:pt idx="0">
                  <c:v>a 2010</c:v>
                </c:pt>
                <c:pt idx="1">
                  <c:v>a 2011</c:v>
                </c:pt>
                <c:pt idx="2">
                  <c:v>a 2012</c:v>
                </c:pt>
                <c:pt idx="3">
                  <c:v>a 2013</c:v>
                </c:pt>
                <c:pt idx="4">
                  <c:v>a 2014</c:v>
                </c:pt>
              </c:strCache>
            </c:strRef>
          </c:cat>
          <c:val>
            <c:numRef>
              <c:f>IVG_!$C$20:$C$24</c:f>
              <c:numCache>
                <c:formatCode>0.00</c:formatCode>
                <c:ptCount val="5"/>
                <c:pt idx="0">
                  <c:v>8.3769108260286167</c:v>
                </c:pt>
                <c:pt idx="1">
                  <c:v>8.7832434802796193</c:v>
                </c:pt>
                <c:pt idx="2">
                  <c:v>8.1858719817006573</c:v>
                </c:pt>
                <c:pt idx="3">
                  <c:v>8.0492301300859452</c:v>
                </c:pt>
                <c:pt idx="4">
                  <c:v>7.3492545190658403</c:v>
                </c:pt>
              </c:numCache>
            </c:numRef>
          </c:val>
          <c:smooth val="0"/>
        </c:ser>
        <c:ser>
          <c:idx val="1"/>
          <c:order val="1"/>
          <c:tx>
            <c:strRef>
              <c:f>IVG_!$D$19</c:f>
              <c:strCache>
                <c:ptCount val="1"/>
                <c:pt idx="0">
                  <c:v>MN</c:v>
                </c:pt>
              </c:strCache>
            </c:strRef>
          </c:tx>
          <c:spPr>
            <a:ln>
              <a:solidFill>
                <a:srgbClr val="C00000"/>
              </a:solidFill>
            </a:ln>
          </c:spPr>
          <c:marker>
            <c:symbol val="square"/>
            <c:size val="7"/>
          </c:marker>
          <c:cat>
            <c:strRef>
              <c:f>IVG_!$B$20:$B$24</c:f>
              <c:strCache>
                <c:ptCount val="5"/>
                <c:pt idx="0">
                  <c:v>a 2010</c:v>
                </c:pt>
                <c:pt idx="1">
                  <c:v>a 2011</c:v>
                </c:pt>
                <c:pt idx="2">
                  <c:v>a 2012</c:v>
                </c:pt>
                <c:pt idx="3">
                  <c:v>a 2013</c:v>
                </c:pt>
                <c:pt idx="4">
                  <c:v>a 2014</c:v>
                </c:pt>
              </c:strCache>
            </c:strRef>
          </c:cat>
          <c:val>
            <c:numRef>
              <c:f>IVG_!$D$20:$D$24</c:f>
              <c:numCache>
                <c:formatCode>0.00</c:formatCode>
                <c:ptCount val="5"/>
                <c:pt idx="0">
                  <c:v>8.7997222282502552</c:v>
                </c:pt>
                <c:pt idx="1">
                  <c:v>8.6088346768332897</c:v>
                </c:pt>
                <c:pt idx="2">
                  <c:v>8.5686727529665099</c:v>
                </c:pt>
                <c:pt idx="3">
                  <c:v>8.2770687063995858</c:v>
                </c:pt>
                <c:pt idx="4">
                  <c:v>7.3921597616312793</c:v>
                </c:pt>
              </c:numCache>
            </c:numRef>
          </c:val>
          <c:smooth val="0"/>
        </c:ser>
        <c:ser>
          <c:idx val="2"/>
          <c:order val="2"/>
          <c:tx>
            <c:strRef>
              <c:f>IVG_!$E$19</c:f>
              <c:strCache>
                <c:ptCount val="1"/>
                <c:pt idx="0">
                  <c:v>Italia </c:v>
                </c:pt>
              </c:strCache>
            </c:strRef>
          </c:tx>
          <c:marker>
            <c:spPr>
              <a:solidFill>
                <a:srgbClr val="002060"/>
              </a:solidFill>
            </c:spPr>
          </c:marker>
          <c:cat>
            <c:strRef>
              <c:f>IVG_!$B$20:$B$24</c:f>
              <c:strCache>
                <c:ptCount val="5"/>
                <c:pt idx="0">
                  <c:v>a 2010</c:v>
                </c:pt>
                <c:pt idx="1">
                  <c:v>a 2011</c:v>
                </c:pt>
                <c:pt idx="2">
                  <c:v>a 2012</c:v>
                </c:pt>
                <c:pt idx="3">
                  <c:v>a 2013</c:v>
                </c:pt>
                <c:pt idx="4">
                  <c:v>a 2014</c:v>
                </c:pt>
              </c:strCache>
            </c:strRef>
          </c:cat>
          <c:val>
            <c:numRef>
              <c:f>IVG_!$E$20:$E$24</c:f>
              <c:numCache>
                <c:formatCode>General</c:formatCode>
                <c:ptCount val="5"/>
                <c:pt idx="4">
                  <c:v>7.6</c:v>
                </c:pt>
              </c:numCache>
            </c:numRef>
          </c:val>
          <c:smooth val="0"/>
        </c:ser>
        <c:ser>
          <c:idx val="3"/>
          <c:order val="3"/>
          <c:tx>
            <c:strRef>
              <c:f>IVG_!$F$19</c:f>
              <c:strCache>
                <c:ptCount val="1"/>
                <c:pt idx="0">
                  <c:v>Lombardia </c:v>
                </c:pt>
              </c:strCache>
            </c:strRef>
          </c:tx>
          <c:marker>
            <c:spPr>
              <a:solidFill>
                <a:srgbClr val="FF0000"/>
              </a:solidFill>
            </c:spPr>
          </c:marker>
          <c:cat>
            <c:strRef>
              <c:f>IVG_!$B$20:$B$24</c:f>
              <c:strCache>
                <c:ptCount val="5"/>
                <c:pt idx="0">
                  <c:v>a 2010</c:v>
                </c:pt>
                <c:pt idx="1">
                  <c:v>a 2011</c:v>
                </c:pt>
                <c:pt idx="2">
                  <c:v>a 2012</c:v>
                </c:pt>
                <c:pt idx="3">
                  <c:v>a 2013</c:v>
                </c:pt>
                <c:pt idx="4">
                  <c:v>a 2014</c:v>
                </c:pt>
              </c:strCache>
            </c:strRef>
          </c:cat>
          <c:val>
            <c:numRef>
              <c:f>IVG_!$F$20:$F$24</c:f>
              <c:numCache>
                <c:formatCode>General</c:formatCode>
                <c:ptCount val="5"/>
                <c:pt idx="4">
                  <c:v>7.7</c:v>
                </c:pt>
              </c:numCache>
            </c:numRef>
          </c:val>
          <c:smooth val="0"/>
        </c:ser>
        <c:dLbls>
          <c:showLegendKey val="0"/>
          <c:showVal val="0"/>
          <c:showCatName val="0"/>
          <c:showSerName val="0"/>
          <c:showPercent val="0"/>
          <c:showBubbleSize val="0"/>
        </c:dLbls>
        <c:marker val="1"/>
        <c:smooth val="0"/>
        <c:axId val="79438592"/>
        <c:axId val="79440128"/>
      </c:lineChart>
      <c:catAx>
        <c:axId val="79438592"/>
        <c:scaling>
          <c:orientation val="minMax"/>
        </c:scaling>
        <c:delete val="0"/>
        <c:axPos val="b"/>
        <c:majorTickMark val="none"/>
        <c:minorTickMark val="none"/>
        <c:tickLblPos val="nextTo"/>
        <c:crossAx val="79440128"/>
        <c:crosses val="autoZero"/>
        <c:auto val="1"/>
        <c:lblAlgn val="ctr"/>
        <c:lblOffset val="100"/>
        <c:noMultiLvlLbl val="0"/>
      </c:catAx>
      <c:valAx>
        <c:axId val="79440128"/>
        <c:scaling>
          <c:orientation val="minMax"/>
        </c:scaling>
        <c:delete val="0"/>
        <c:axPos val="l"/>
        <c:majorGridlines/>
        <c:numFmt formatCode="0.0" sourceLinked="0"/>
        <c:majorTickMark val="none"/>
        <c:minorTickMark val="none"/>
        <c:tickLblPos val="nextTo"/>
        <c:txPr>
          <a:bodyPr/>
          <a:lstStyle/>
          <a:p>
            <a:pPr>
              <a:defRPr sz="800"/>
            </a:pPr>
            <a:endParaRPr lang="it-IT"/>
          </a:p>
        </c:txPr>
        <c:crossAx val="79438592"/>
        <c:crosses val="autoZero"/>
        <c:crossBetween val="between"/>
      </c:valAx>
    </c:plotArea>
    <c:legend>
      <c:legendPos val="b"/>
      <c:overlay val="0"/>
      <c:txPr>
        <a:bodyPr/>
        <a:lstStyle/>
        <a:p>
          <a:pPr>
            <a:defRPr sz="800"/>
          </a:pPr>
          <a:endParaRPr lang="it-IT"/>
        </a:p>
      </c:txPr>
    </c:legend>
    <c:plotVisOnly val="1"/>
    <c:dispBlanksAs val="gap"/>
    <c:showDLblsOverMax val="0"/>
  </c:chart>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it-IT" sz="1100"/>
              <a:t>Tasso  IVG</a:t>
            </a:r>
          </a:p>
          <a:p>
            <a:pPr>
              <a:defRPr sz="1100"/>
            </a:pPr>
            <a:r>
              <a:rPr lang="it-IT" sz="1100"/>
              <a:t>Italiane e straniere </a:t>
            </a:r>
          </a:p>
        </c:rich>
      </c:tx>
      <c:overlay val="0"/>
    </c:title>
    <c:autoTitleDeleted val="0"/>
    <c:plotArea>
      <c:layout/>
      <c:lineChart>
        <c:grouping val="standard"/>
        <c:varyColors val="0"/>
        <c:ser>
          <c:idx val="0"/>
          <c:order val="0"/>
          <c:tx>
            <c:strRef>
              <c:f>IVG_!$C$37</c:f>
              <c:strCache>
                <c:ptCount val="1"/>
                <c:pt idx="0">
                  <c:v>STR MN</c:v>
                </c:pt>
              </c:strCache>
            </c:strRef>
          </c:tx>
          <c:cat>
            <c:strRef>
              <c:f>IVG_!$B$38:$B$42</c:f>
              <c:strCache>
                <c:ptCount val="5"/>
                <c:pt idx="0">
                  <c:v>a 2010</c:v>
                </c:pt>
                <c:pt idx="1">
                  <c:v>a 2011</c:v>
                </c:pt>
                <c:pt idx="2">
                  <c:v>a 2012</c:v>
                </c:pt>
                <c:pt idx="3">
                  <c:v>a 2013</c:v>
                </c:pt>
                <c:pt idx="4">
                  <c:v>a 2014</c:v>
                </c:pt>
              </c:strCache>
            </c:strRef>
          </c:cat>
          <c:val>
            <c:numRef>
              <c:f>IVG_!$C$38:$C$42</c:f>
              <c:numCache>
                <c:formatCode>0.00</c:formatCode>
                <c:ptCount val="5"/>
                <c:pt idx="0">
                  <c:v>22.078076648417046</c:v>
                </c:pt>
                <c:pt idx="1">
                  <c:v>22.437531871494134</c:v>
                </c:pt>
                <c:pt idx="2">
                  <c:v>21.499548328816619</c:v>
                </c:pt>
                <c:pt idx="3">
                  <c:v>21.550225929787974</c:v>
                </c:pt>
                <c:pt idx="4">
                  <c:v>18.0623973727422</c:v>
                </c:pt>
              </c:numCache>
            </c:numRef>
          </c:val>
          <c:smooth val="0"/>
        </c:ser>
        <c:ser>
          <c:idx val="1"/>
          <c:order val="1"/>
          <c:tx>
            <c:strRef>
              <c:f>IVG_!$D$37</c:f>
              <c:strCache>
                <c:ptCount val="1"/>
                <c:pt idx="0">
                  <c:v>IT MN</c:v>
                </c:pt>
              </c:strCache>
            </c:strRef>
          </c:tx>
          <c:cat>
            <c:strRef>
              <c:f>IVG_!$B$38:$B$42</c:f>
              <c:strCache>
                <c:ptCount val="5"/>
                <c:pt idx="0">
                  <c:v>a 2010</c:v>
                </c:pt>
                <c:pt idx="1">
                  <c:v>a 2011</c:v>
                </c:pt>
                <c:pt idx="2">
                  <c:v>a 2012</c:v>
                </c:pt>
                <c:pt idx="3">
                  <c:v>a 2013</c:v>
                </c:pt>
                <c:pt idx="4">
                  <c:v>a 2014</c:v>
                </c:pt>
              </c:strCache>
            </c:strRef>
          </c:cat>
          <c:val>
            <c:numRef>
              <c:f>IVG_!$D$38:$D$42</c:f>
              <c:numCache>
                <c:formatCode>0.00</c:formatCode>
                <c:ptCount val="5"/>
                <c:pt idx="0">
                  <c:v>5.838796146394543</c:v>
                </c:pt>
                <c:pt idx="1">
                  <c:v>5.6674123788217745</c:v>
                </c:pt>
                <c:pt idx="2">
                  <c:v>5.6093829678735334</c:v>
                </c:pt>
                <c:pt idx="3">
                  <c:v>5.090403337969402</c:v>
                </c:pt>
                <c:pt idx="4">
                  <c:v>4.8251245079642775</c:v>
                </c:pt>
              </c:numCache>
            </c:numRef>
          </c:val>
          <c:smooth val="0"/>
        </c:ser>
        <c:ser>
          <c:idx val="2"/>
          <c:order val="2"/>
          <c:tx>
            <c:strRef>
              <c:f>IVG_!$E$37</c:f>
              <c:strCache>
                <c:ptCount val="1"/>
                <c:pt idx="0">
                  <c:v>STR CR</c:v>
                </c:pt>
              </c:strCache>
            </c:strRef>
          </c:tx>
          <c:cat>
            <c:strRef>
              <c:f>IVG_!$B$38:$B$42</c:f>
              <c:strCache>
                <c:ptCount val="5"/>
                <c:pt idx="0">
                  <c:v>a 2010</c:v>
                </c:pt>
                <c:pt idx="1">
                  <c:v>a 2011</c:v>
                </c:pt>
                <c:pt idx="2">
                  <c:v>a 2012</c:v>
                </c:pt>
                <c:pt idx="3">
                  <c:v>a 2013</c:v>
                </c:pt>
                <c:pt idx="4">
                  <c:v>a 2014</c:v>
                </c:pt>
              </c:strCache>
            </c:strRef>
          </c:cat>
          <c:val>
            <c:numRef>
              <c:f>IVG_!$E$38:$E$42</c:f>
              <c:numCache>
                <c:formatCode>0.00</c:formatCode>
                <c:ptCount val="5"/>
                <c:pt idx="0">
                  <c:v>24.054438993511631</c:v>
                </c:pt>
                <c:pt idx="1">
                  <c:v>25.778372949447604</c:v>
                </c:pt>
                <c:pt idx="2">
                  <c:v>21.870459585531851</c:v>
                </c:pt>
                <c:pt idx="3">
                  <c:v>18.965906525174983</c:v>
                </c:pt>
                <c:pt idx="4">
                  <c:v>19.74229523020119</c:v>
                </c:pt>
              </c:numCache>
            </c:numRef>
          </c:val>
          <c:smooth val="0"/>
        </c:ser>
        <c:ser>
          <c:idx val="3"/>
          <c:order val="3"/>
          <c:tx>
            <c:strRef>
              <c:f>IVG_!$F$37</c:f>
              <c:strCache>
                <c:ptCount val="1"/>
                <c:pt idx="0">
                  <c:v>IT CR</c:v>
                </c:pt>
              </c:strCache>
            </c:strRef>
          </c:tx>
          <c:spPr>
            <a:ln>
              <a:solidFill>
                <a:srgbClr val="FFFF00"/>
              </a:solidFill>
            </a:ln>
          </c:spPr>
          <c:cat>
            <c:strRef>
              <c:f>IVG_!$B$38:$B$42</c:f>
              <c:strCache>
                <c:ptCount val="5"/>
                <c:pt idx="0">
                  <c:v>a 2010</c:v>
                </c:pt>
                <c:pt idx="1">
                  <c:v>a 2011</c:v>
                </c:pt>
                <c:pt idx="2">
                  <c:v>a 2012</c:v>
                </c:pt>
                <c:pt idx="3">
                  <c:v>a 2013</c:v>
                </c:pt>
                <c:pt idx="4">
                  <c:v>a 2014</c:v>
                </c:pt>
              </c:strCache>
            </c:strRef>
          </c:cat>
          <c:val>
            <c:numRef>
              <c:f>IVG_!$F$38:$F$42</c:f>
              <c:numCache>
                <c:formatCode>0.00</c:formatCode>
                <c:ptCount val="5"/>
                <c:pt idx="0">
                  <c:v>5.4243349973921466</c:v>
                </c:pt>
                <c:pt idx="1">
                  <c:v>5.6871893391882411</c:v>
                </c:pt>
                <c:pt idx="2">
                  <c:v>5.4216867469879517</c:v>
                </c:pt>
                <c:pt idx="3">
                  <c:v>5.7735452391785245</c:v>
                </c:pt>
                <c:pt idx="4">
                  <c:v>4.7185655560709545</c:v>
                </c:pt>
              </c:numCache>
            </c:numRef>
          </c:val>
          <c:smooth val="0"/>
        </c:ser>
        <c:dLbls>
          <c:showLegendKey val="0"/>
          <c:showVal val="0"/>
          <c:showCatName val="0"/>
          <c:showSerName val="0"/>
          <c:showPercent val="0"/>
          <c:showBubbleSize val="0"/>
        </c:dLbls>
        <c:marker val="1"/>
        <c:smooth val="0"/>
        <c:axId val="118678272"/>
        <c:axId val="118679808"/>
      </c:lineChart>
      <c:catAx>
        <c:axId val="118678272"/>
        <c:scaling>
          <c:orientation val="minMax"/>
        </c:scaling>
        <c:delete val="0"/>
        <c:axPos val="b"/>
        <c:majorTickMark val="none"/>
        <c:minorTickMark val="none"/>
        <c:tickLblPos val="nextTo"/>
        <c:crossAx val="118679808"/>
        <c:crosses val="autoZero"/>
        <c:auto val="1"/>
        <c:lblAlgn val="ctr"/>
        <c:lblOffset val="100"/>
        <c:noMultiLvlLbl val="0"/>
      </c:catAx>
      <c:valAx>
        <c:axId val="118679808"/>
        <c:scaling>
          <c:orientation val="minMax"/>
        </c:scaling>
        <c:delete val="0"/>
        <c:axPos val="l"/>
        <c:majorGridlines/>
        <c:numFmt formatCode="0.0" sourceLinked="0"/>
        <c:majorTickMark val="none"/>
        <c:minorTickMark val="none"/>
        <c:tickLblPos val="nextTo"/>
        <c:txPr>
          <a:bodyPr/>
          <a:lstStyle/>
          <a:p>
            <a:pPr>
              <a:defRPr sz="800"/>
            </a:pPr>
            <a:endParaRPr lang="it-IT"/>
          </a:p>
        </c:txPr>
        <c:crossAx val="118678272"/>
        <c:crosses val="autoZero"/>
        <c:crossBetween val="between"/>
        <c:majorUnit val="10"/>
      </c:valAx>
    </c:plotArea>
    <c:legend>
      <c:legendPos val="b"/>
      <c:overlay val="0"/>
      <c:txPr>
        <a:bodyPr/>
        <a:lstStyle/>
        <a:p>
          <a:pPr>
            <a:defRPr sz="800"/>
          </a:pPr>
          <a:endParaRPr lang="it-IT"/>
        </a:p>
      </c:txPr>
    </c:legend>
    <c:plotVisOnly val="1"/>
    <c:dispBlanksAs val="gap"/>
    <c:showDLblsOverMax val="0"/>
  </c:chart>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'istogrammi nazionalita'!$B$9</c:f>
              <c:strCache>
                <c:ptCount val="1"/>
                <c:pt idx="0">
                  <c:v>Italiana</c:v>
                </c:pt>
              </c:strCache>
            </c:strRef>
          </c:tx>
          <c:spPr>
            <a:solidFill>
              <a:schemeClr val="accent1"/>
            </a:solidFill>
            <a:ln>
              <a:noFill/>
            </a:ln>
            <a:effectLst/>
            <a:sp3d/>
          </c:spPr>
          <c:invertIfNegative val="0"/>
          <c:dLbls>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nazionalita'!$A$10:$A$13</c:f>
              <c:strCache>
                <c:ptCount val="4"/>
                <c:pt idx="0">
                  <c:v>Cremona</c:v>
                </c:pt>
                <c:pt idx="1">
                  <c:v>Mantova</c:v>
                </c:pt>
                <c:pt idx="2">
                  <c:v>Lombardia</c:v>
                </c:pt>
                <c:pt idx="3">
                  <c:v>Italia</c:v>
                </c:pt>
              </c:strCache>
            </c:strRef>
          </c:cat>
          <c:val>
            <c:numRef>
              <c:f>'istogrammi nazionalita'!$B$10:$B$13</c:f>
              <c:numCache>
                <c:formatCode>General</c:formatCode>
                <c:ptCount val="4"/>
                <c:pt idx="0">
                  <c:v>8.09</c:v>
                </c:pt>
                <c:pt idx="1">
                  <c:v>2.93</c:v>
                </c:pt>
                <c:pt idx="2">
                  <c:v>3.2</c:v>
                </c:pt>
                <c:pt idx="3">
                  <c:v>2.6</c:v>
                </c:pt>
              </c:numCache>
            </c:numRef>
          </c:val>
        </c:ser>
        <c:ser>
          <c:idx val="1"/>
          <c:order val="1"/>
          <c:tx>
            <c:strRef>
              <c:f>'istogrammi nazionalita'!$C$9</c:f>
              <c:strCache>
                <c:ptCount val="1"/>
                <c:pt idx="0">
                  <c:v>Straniera</c:v>
                </c:pt>
              </c:strCache>
            </c:strRef>
          </c:tx>
          <c:spPr>
            <a:solidFill>
              <a:srgbClr val="FF0000"/>
            </a:solidFill>
            <a:ln>
              <a:noFill/>
            </a:ln>
            <a:effectLst/>
            <a:sp3d/>
          </c:spPr>
          <c:invertIfNegative val="0"/>
          <c:dLbls>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nazionalita'!$A$10:$A$13</c:f>
              <c:strCache>
                <c:ptCount val="4"/>
                <c:pt idx="0">
                  <c:v>Cremona</c:v>
                </c:pt>
                <c:pt idx="1">
                  <c:v>Mantova</c:v>
                </c:pt>
                <c:pt idx="2">
                  <c:v>Lombardia</c:v>
                </c:pt>
                <c:pt idx="3">
                  <c:v>Italia</c:v>
                </c:pt>
              </c:strCache>
            </c:strRef>
          </c:cat>
          <c:val>
            <c:numRef>
              <c:f>'istogrammi nazionalita'!$C$10:$C$13</c:f>
              <c:numCache>
                <c:formatCode>General</c:formatCode>
                <c:ptCount val="4"/>
                <c:pt idx="0">
                  <c:v>32.07</c:v>
                </c:pt>
                <c:pt idx="1">
                  <c:v>14.35</c:v>
                </c:pt>
                <c:pt idx="2">
                  <c:v>14.1</c:v>
                </c:pt>
                <c:pt idx="3">
                  <c:v>12.3</c:v>
                </c:pt>
              </c:numCache>
            </c:numRef>
          </c:val>
        </c:ser>
        <c:dLbls>
          <c:showLegendKey val="0"/>
          <c:showVal val="0"/>
          <c:showCatName val="0"/>
          <c:showSerName val="0"/>
          <c:showPercent val="0"/>
          <c:showBubbleSize val="0"/>
        </c:dLbls>
        <c:gapWidth val="150"/>
        <c:shape val="box"/>
        <c:axId val="119318400"/>
        <c:axId val="119319936"/>
        <c:axId val="0"/>
      </c:bar3DChart>
      <c:catAx>
        <c:axId val="119318400"/>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119319936"/>
        <c:crosses val="autoZero"/>
        <c:auto val="1"/>
        <c:lblAlgn val="ctr"/>
        <c:lblOffset val="100"/>
        <c:noMultiLvlLbl val="0"/>
      </c:catAx>
      <c:valAx>
        <c:axId val="119319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it-IT"/>
          </a:p>
        </c:txPr>
        <c:crossAx val="119318400"/>
        <c:crosses val="autoZero"/>
        <c:crossBetween val="between"/>
      </c:valAx>
      <c:spPr>
        <a:noFill/>
        <a:ln>
          <a:noFill/>
        </a:ln>
        <a:effectLst/>
      </c:spPr>
    </c:plotArea>
    <c:legend>
      <c:legendPos val="b"/>
      <c:layout>
        <c:manualLayout>
          <c:xMode val="edge"/>
          <c:yMode val="edge"/>
          <c:x val="0.32709943505447986"/>
          <c:y val="0.89055155875299763"/>
          <c:w val="0.34580112989104028"/>
          <c:h val="8.4670975084339309E-2"/>
        </c:manualLayout>
      </c:layout>
      <c:overlay val="0"/>
      <c:spPr>
        <a:noFill/>
        <a:ln>
          <a:noFill/>
        </a:ln>
        <a:effectLst/>
      </c:spPr>
      <c:txPr>
        <a:bodyPr rot="0" vert="horz"/>
        <a:lstStyle/>
        <a:p>
          <a:pPr>
            <a:defRPr/>
          </a:pPr>
          <a:endParaRPr lang="it-IT"/>
        </a:p>
      </c:txPr>
    </c:legend>
    <c:plotVisOnly val="1"/>
    <c:dispBlanksAs val="gap"/>
    <c:showDLblsOverMax val="0"/>
  </c:chart>
  <c:spPr>
    <a:noFill/>
    <a:ln>
      <a:noFill/>
    </a:ln>
    <a:effectLst/>
  </c:spPr>
  <c:txPr>
    <a:bodyPr/>
    <a:lstStyle/>
    <a:p>
      <a:pPr>
        <a:defRPr sz="800" b="1">
          <a:solidFill>
            <a:schemeClr val="tx1"/>
          </a:solidFill>
          <a:latin typeface="+mn-lt"/>
        </a:defRPr>
      </a:pPr>
      <a:endParaRPr lang="it-IT"/>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istogrammi!$B$15</c:f>
              <c:strCache>
                <c:ptCount val="1"/>
                <c:pt idx="0">
                  <c:v>Italiana</c:v>
                </c:pt>
              </c:strCache>
            </c:strRef>
          </c:tx>
          <c:spPr>
            <a:solidFill>
              <a:schemeClr val="accent1"/>
            </a:solidFill>
            <a:ln>
              <a:noFill/>
            </a:ln>
            <a:effectLst/>
            <a:sp3d/>
          </c:spPr>
          <c:invertIfNegative val="0"/>
          <c:dLbls>
            <c:dLbl>
              <c:idx val="0"/>
              <c:layout>
                <c:manualLayout>
                  <c:x val="-2.3513959423052603E-3"/>
                  <c:y val="-5.162028067342110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865355365357952E-2"/>
                  <c:y val="-4.7318590617302682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istogrammi!$A$16:$A$17</c:f>
              <c:strCache>
                <c:ptCount val="2"/>
                <c:pt idx="0">
                  <c:v>Cremona</c:v>
                </c:pt>
                <c:pt idx="1">
                  <c:v>Mantova</c:v>
                </c:pt>
              </c:strCache>
            </c:strRef>
          </c:cat>
          <c:val>
            <c:numRef>
              <c:f>istogrammi!$B$16:$B$17</c:f>
              <c:numCache>
                <c:formatCode>General</c:formatCode>
                <c:ptCount val="2"/>
                <c:pt idx="0">
                  <c:v>1.26</c:v>
                </c:pt>
                <c:pt idx="1">
                  <c:v>2.11</c:v>
                </c:pt>
              </c:numCache>
            </c:numRef>
          </c:val>
        </c:ser>
        <c:ser>
          <c:idx val="1"/>
          <c:order val="1"/>
          <c:tx>
            <c:strRef>
              <c:f>istogrammi!$C$15</c:f>
              <c:strCache>
                <c:ptCount val="1"/>
                <c:pt idx="0">
                  <c:v>Straniera</c:v>
                </c:pt>
              </c:strCache>
            </c:strRef>
          </c:tx>
          <c:spPr>
            <a:solidFill>
              <a:srgbClr val="FF0000"/>
            </a:solidFill>
            <a:ln>
              <a:noFill/>
            </a:ln>
            <a:effectLst/>
            <a:sp3d/>
          </c:spPr>
          <c:invertIfNegative val="0"/>
          <c:dLbls>
            <c:dLbl>
              <c:idx val="0"/>
              <c:layout>
                <c:manualLayout>
                  <c:x val="1.4108375653831563E-2"/>
                  <c:y val="-3.44135204489474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459771596136822E-2"/>
                  <c:y val="-3.8715210505065829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istogrammi!$A$16:$A$17</c:f>
              <c:strCache>
                <c:ptCount val="2"/>
                <c:pt idx="0">
                  <c:v>Cremona</c:v>
                </c:pt>
                <c:pt idx="1">
                  <c:v>Mantova</c:v>
                </c:pt>
              </c:strCache>
            </c:strRef>
          </c:cat>
          <c:val>
            <c:numRef>
              <c:f>istogrammi!$C$16:$C$17</c:f>
              <c:numCache>
                <c:formatCode>General</c:formatCode>
                <c:ptCount val="2"/>
                <c:pt idx="0">
                  <c:v>4.9400000000000004</c:v>
                </c:pt>
                <c:pt idx="1">
                  <c:v>1.64</c:v>
                </c:pt>
              </c:numCache>
            </c:numRef>
          </c:val>
        </c:ser>
        <c:dLbls>
          <c:showLegendKey val="0"/>
          <c:showVal val="0"/>
          <c:showCatName val="0"/>
          <c:showSerName val="0"/>
          <c:showPercent val="0"/>
          <c:showBubbleSize val="0"/>
        </c:dLbls>
        <c:gapWidth val="150"/>
        <c:shape val="box"/>
        <c:axId val="119440512"/>
        <c:axId val="119442048"/>
        <c:axId val="0"/>
      </c:bar3DChart>
      <c:catAx>
        <c:axId val="119440512"/>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119442048"/>
        <c:crosses val="autoZero"/>
        <c:auto val="1"/>
        <c:lblAlgn val="ctr"/>
        <c:lblOffset val="100"/>
        <c:noMultiLvlLbl val="0"/>
      </c:catAx>
      <c:valAx>
        <c:axId val="119442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it-IT"/>
          </a:p>
        </c:txPr>
        <c:crossAx val="119440512"/>
        <c:crosses val="autoZero"/>
        <c:crossBetween val="between"/>
      </c:valAx>
      <c:spPr>
        <a:noFill/>
        <a:ln>
          <a:noFill/>
        </a:ln>
        <a:effectLst/>
      </c:spPr>
    </c:plotArea>
    <c:legend>
      <c:legendPos val="b"/>
      <c:overlay val="0"/>
      <c:spPr>
        <a:noFill/>
        <a:ln>
          <a:noFill/>
        </a:ln>
        <a:effectLst/>
      </c:spPr>
      <c:txPr>
        <a:bodyPr rot="0" vert="horz"/>
        <a:lstStyle/>
        <a:p>
          <a:pPr>
            <a:defRPr/>
          </a:pPr>
          <a:endParaRPr lang="it-IT"/>
        </a:p>
      </c:txPr>
    </c:legend>
    <c:plotVisOnly val="1"/>
    <c:dispBlanksAs val="gap"/>
    <c:showDLblsOverMax val="0"/>
  </c:chart>
  <c:spPr>
    <a:solidFill>
      <a:schemeClr val="bg1"/>
    </a:solidFill>
    <a:ln w="9525" cap="flat" cmpd="sng" algn="ctr">
      <a:noFill/>
      <a:round/>
    </a:ln>
    <a:effectLst/>
  </c:spPr>
  <c:txPr>
    <a:bodyPr/>
    <a:lstStyle/>
    <a:p>
      <a:pPr>
        <a:defRPr sz="800" b="1"/>
      </a:pPr>
      <a:endParaRPr lang="it-IT"/>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endParaRPr lang="it-IT"/>
          </a:p>
          <a:p>
            <a:pPr>
              <a:defRPr/>
            </a:pPr>
            <a:endParaRPr lang="it-IT"/>
          </a:p>
        </c:rich>
      </c:tx>
      <c:layout>
        <c:manualLayout>
          <c:xMode val="edge"/>
          <c:yMode val="edge"/>
          <c:x val="0.13534840329408104"/>
          <c:y val="2.7777777777777776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'Diagnosi Invasiva'!$H$17</c:f>
              <c:strCache>
                <c:ptCount val="1"/>
                <c:pt idx="0">
                  <c:v>% villo</c:v>
                </c:pt>
              </c:strCache>
            </c:strRef>
          </c:tx>
          <c:spPr>
            <a:solidFill>
              <a:srgbClr val="9BBB59">
                <a:lumMod val="60000"/>
                <a:lumOff val="40000"/>
              </a:srgb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'Diagnosi Invasiva'!$G$18:$G$21</c:f>
              <c:strCache>
                <c:ptCount val="4"/>
                <c:pt idx="0">
                  <c:v>Cremona</c:v>
                </c:pt>
                <c:pt idx="1">
                  <c:v>Mantova </c:v>
                </c:pt>
                <c:pt idx="2">
                  <c:v>Lombardia</c:v>
                </c:pt>
                <c:pt idx="3">
                  <c:v>Italia</c:v>
                </c:pt>
              </c:strCache>
            </c:strRef>
          </c:cat>
          <c:val>
            <c:numRef>
              <c:f>'Diagnosi Invasiva'!$H$18:$H$21</c:f>
              <c:numCache>
                <c:formatCode>0.0</c:formatCode>
                <c:ptCount val="4"/>
                <c:pt idx="0">
                  <c:v>4.520037278657969</c:v>
                </c:pt>
                <c:pt idx="1">
                  <c:v>25.415070242656451</c:v>
                </c:pt>
                <c:pt idx="2">
                  <c:v>5.3</c:v>
                </c:pt>
                <c:pt idx="3">
                  <c:v>4.2</c:v>
                </c:pt>
              </c:numCache>
            </c:numRef>
          </c:val>
        </c:ser>
        <c:ser>
          <c:idx val="1"/>
          <c:order val="1"/>
          <c:tx>
            <c:strRef>
              <c:f>'Diagnosi Invasiva'!$I$17</c:f>
              <c:strCache>
                <c:ptCount val="1"/>
                <c:pt idx="0">
                  <c:v>% amnio</c:v>
                </c:pt>
              </c:strCache>
            </c:strRef>
          </c:tx>
          <c:spPr>
            <a:solidFill>
              <a:srgbClr val="9BBB59">
                <a:lumMod val="75000"/>
              </a:srgb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'Diagnosi Invasiva'!$G$18:$G$21</c:f>
              <c:strCache>
                <c:ptCount val="4"/>
                <c:pt idx="0">
                  <c:v>Cremona</c:v>
                </c:pt>
                <c:pt idx="1">
                  <c:v>Mantova </c:v>
                </c:pt>
                <c:pt idx="2">
                  <c:v>Lombardia</c:v>
                </c:pt>
                <c:pt idx="3">
                  <c:v>Italia</c:v>
                </c:pt>
              </c:strCache>
            </c:strRef>
          </c:cat>
          <c:val>
            <c:numRef>
              <c:f>'Diagnosi Invasiva'!$I$18:$I$21</c:f>
              <c:numCache>
                <c:formatCode>0.0</c:formatCode>
                <c:ptCount val="4"/>
                <c:pt idx="0">
                  <c:v>9.2730661696178949</c:v>
                </c:pt>
                <c:pt idx="1">
                  <c:v>4.3422733077905491</c:v>
                </c:pt>
                <c:pt idx="2">
                  <c:v>10.3</c:v>
                </c:pt>
                <c:pt idx="3">
                  <c:v>10.6</c:v>
                </c:pt>
              </c:numCache>
            </c:numRef>
          </c:val>
        </c:ser>
        <c:ser>
          <c:idx val="2"/>
          <c:order val="2"/>
          <c:tx>
            <c:strRef>
              <c:f>'Diagnosi Invasiva'!$J$17</c:f>
              <c:strCache>
                <c:ptCount val="1"/>
                <c:pt idx="0">
                  <c:v>Totale  </c:v>
                </c:pt>
              </c:strCache>
            </c:strRef>
          </c:tx>
          <c:spPr>
            <a:solidFill>
              <a:srgbClr val="9BBB59">
                <a:lumMod val="50000"/>
              </a:srgbClr>
            </a:solidFill>
          </c:spPr>
          <c:invertIfNegative val="0"/>
          <c:dLbls>
            <c:dLbl>
              <c:idx val="1"/>
              <c:tx>
                <c:rich>
                  <a:bodyPr/>
                  <a:lstStyle/>
                  <a:p>
                    <a:r>
                      <a:rPr lang="en-US" smtClean="0"/>
                      <a:t>29,7</a:t>
                    </a:r>
                    <a:endParaRPr lang="en-US" dirty="0"/>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'Diagnosi Invasiva'!$G$18:$G$21</c:f>
              <c:strCache>
                <c:ptCount val="4"/>
                <c:pt idx="0">
                  <c:v>Cremona</c:v>
                </c:pt>
                <c:pt idx="1">
                  <c:v>Mantova </c:v>
                </c:pt>
                <c:pt idx="2">
                  <c:v>Lombardia</c:v>
                </c:pt>
                <c:pt idx="3">
                  <c:v>Italia</c:v>
                </c:pt>
              </c:strCache>
            </c:strRef>
          </c:cat>
          <c:val>
            <c:numRef>
              <c:f>'Diagnosi Invasiva'!$J$18:$J$21</c:f>
              <c:numCache>
                <c:formatCode>0.0</c:formatCode>
                <c:ptCount val="4"/>
                <c:pt idx="0">
                  <c:v>13.793103448275861</c:v>
                </c:pt>
                <c:pt idx="1">
                  <c:v>29.757343550446997</c:v>
                </c:pt>
                <c:pt idx="2">
                  <c:v>15.600000000000001</c:v>
                </c:pt>
                <c:pt idx="3">
                  <c:v>14.8</c:v>
                </c:pt>
              </c:numCache>
            </c:numRef>
          </c:val>
        </c:ser>
        <c:dLbls>
          <c:showLegendKey val="0"/>
          <c:showVal val="0"/>
          <c:showCatName val="0"/>
          <c:showSerName val="0"/>
          <c:showPercent val="0"/>
          <c:showBubbleSize val="0"/>
        </c:dLbls>
        <c:gapWidth val="150"/>
        <c:shape val="box"/>
        <c:axId val="119765248"/>
        <c:axId val="119767040"/>
        <c:axId val="0"/>
      </c:bar3DChart>
      <c:catAx>
        <c:axId val="119765248"/>
        <c:scaling>
          <c:orientation val="minMax"/>
        </c:scaling>
        <c:delete val="0"/>
        <c:axPos val="b"/>
        <c:numFmt formatCode="General" sourceLinked="0"/>
        <c:majorTickMark val="none"/>
        <c:minorTickMark val="none"/>
        <c:tickLblPos val="nextTo"/>
        <c:crossAx val="119767040"/>
        <c:crosses val="autoZero"/>
        <c:auto val="1"/>
        <c:lblAlgn val="ctr"/>
        <c:lblOffset val="100"/>
        <c:noMultiLvlLbl val="0"/>
      </c:catAx>
      <c:valAx>
        <c:axId val="119767040"/>
        <c:scaling>
          <c:orientation val="minMax"/>
        </c:scaling>
        <c:delete val="0"/>
        <c:axPos val="l"/>
        <c:majorGridlines/>
        <c:numFmt formatCode="0" sourceLinked="0"/>
        <c:majorTickMark val="none"/>
        <c:minorTickMark val="none"/>
        <c:tickLblPos val="nextTo"/>
        <c:crossAx val="119765248"/>
        <c:crosses val="autoZero"/>
        <c:crossBetween val="between"/>
      </c:valAx>
    </c:plotArea>
    <c:legend>
      <c:legendPos val="b"/>
      <c:overlay val="0"/>
    </c:legend>
    <c:plotVisOnly val="1"/>
    <c:dispBlanksAs val="gap"/>
    <c:showDLblsOverMax val="0"/>
  </c:chart>
  <c:spPr>
    <a:ln>
      <a:noFill/>
    </a:ln>
  </c:spPr>
  <c:txPr>
    <a:bodyPr/>
    <a:lstStyle/>
    <a:p>
      <a:pPr>
        <a:defRPr sz="800" b="1"/>
      </a:pPr>
      <a:endParaRPr lang="it-IT"/>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6154194653531779E-2"/>
          <c:y val="0.24579500448552086"/>
          <c:w val="0.89572895598736935"/>
          <c:h val="0.52922928206987152"/>
        </c:manualLayout>
      </c:layout>
      <c:bar3DChart>
        <c:barDir val="col"/>
        <c:grouping val="clustered"/>
        <c:varyColors val="0"/>
        <c:ser>
          <c:idx val="0"/>
          <c:order val="0"/>
          <c:tx>
            <c:strRef>
              <c:f>istogrammi!$B$21</c:f>
              <c:strCache>
                <c:ptCount val="1"/>
                <c:pt idx="0">
                  <c:v>Italiana</c:v>
                </c:pt>
              </c:strCache>
            </c:strRef>
          </c:tx>
          <c:spPr>
            <a:solidFill>
              <a:schemeClr val="accent1"/>
            </a:solidFill>
            <a:ln>
              <a:noFill/>
            </a:ln>
            <a:effectLst/>
            <a:sp3d/>
          </c:spPr>
          <c:invertIfNegative val="0"/>
          <c:dLbls>
            <c:dLbl>
              <c:idx val="0"/>
              <c:layout>
                <c:manualLayout>
                  <c:x val="1.2597809092205845E-2"/>
                  <c:y val="-3.919317606685676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676056365970521E-2"/>
                  <c:y val="-1.9596588033428383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istogrammi!$A$22:$A$23</c:f>
              <c:strCache>
                <c:ptCount val="2"/>
                <c:pt idx="0">
                  <c:v>Cremona</c:v>
                </c:pt>
                <c:pt idx="1">
                  <c:v>Mantova</c:v>
                </c:pt>
              </c:strCache>
            </c:strRef>
          </c:cat>
          <c:val>
            <c:numRef>
              <c:f>istogrammi!$B$22:$B$23</c:f>
              <c:numCache>
                <c:formatCode>General</c:formatCode>
                <c:ptCount val="2"/>
                <c:pt idx="0">
                  <c:v>17.68</c:v>
                </c:pt>
                <c:pt idx="1">
                  <c:v>37.04</c:v>
                </c:pt>
              </c:numCache>
            </c:numRef>
          </c:val>
        </c:ser>
        <c:ser>
          <c:idx val="1"/>
          <c:order val="1"/>
          <c:tx>
            <c:strRef>
              <c:f>istogrammi!$C$21</c:f>
              <c:strCache>
                <c:ptCount val="1"/>
                <c:pt idx="0">
                  <c:v>Straniera</c:v>
                </c:pt>
              </c:strCache>
            </c:strRef>
          </c:tx>
          <c:spPr>
            <a:solidFill>
              <a:srgbClr val="FF0000"/>
            </a:solidFill>
            <a:ln>
              <a:noFill/>
            </a:ln>
            <a:effectLst/>
            <a:sp3d/>
          </c:spPr>
          <c:invertIfNegative val="0"/>
          <c:dLbls>
            <c:dLbl>
              <c:idx val="0"/>
              <c:layout>
                <c:manualLayout>
                  <c:x val="2.9893107426177561E-2"/>
                  <c:y val="-1.392389149743595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5871728911413069E-2"/>
                  <c:y val="-2.7847782994871915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istogrammi!$A$22:$A$23</c:f>
              <c:strCache>
                <c:ptCount val="2"/>
                <c:pt idx="0">
                  <c:v>Cremona</c:v>
                </c:pt>
                <c:pt idx="1">
                  <c:v>Mantova</c:v>
                </c:pt>
              </c:strCache>
            </c:strRef>
          </c:cat>
          <c:val>
            <c:numRef>
              <c:f>istogrammi!$C$22:$C$23</c:f>
              <c:numCache>
                <c:formatCode>General</c:formatCode>
                <c:ptCount val="2"/>
                <c:pt idx="0">
                  <c:v>5.15</c:v>
                </c:pt>
                <c:pt idx="1">
                  <c:v>15.9</c:v>
                </c:pt>
              </c:numCache>
            </c:numRef>
          </c:val>
        </c:ser>
        <c:dLbls>
          <c:showLegendKey val="0"/>
          <c:showVal val="0"/>
          <c:showCatName val="0"/>
          <c:showSerName val="0"/>
          <c:showPercent val="0"/>
          <c:showBubbleSize val="0"/>
        </c:dLbls>
        <c:gapWidth val="150"/>
        <c:shape val="box"/>
        <c:axId val="119691136"/>
        <c:axId val="119692672"/>
        <c:axId val="0"/>
      </c:bar3DChart>
      <c:catAx>
        <c:axId val="119691136"/>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119692672"/>
        <c:crosses val="autoZero"/>
        <c:auto val="1"/>
        <c:lblAlgn val="ctr"/>
        <c:lblOffset val="100"/>
        <c:noMultiLvlLbl val="0"/>
      </c:catAx>
      <c:valAx>
        <c:axId val="119692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it-IT"/>
          </a:p>
        </c:txPr>
        <c:crossAx val="119691136"/>
        <c:crosses val="autoZero"/>
        <c:crossBetween val="between"/>
      </c:valAx>
      <c:spPr>
        <a:noFill/>
        <a:ln>
          <a:noFill/>
        </a:ln>
        <a:effectLst/>
      </c:spPr>
    </c:plotArea>
    <c:legend>
      <c:legendPos val="b"/>
      <c:overlay val="0"/>
      <c:spPr>
        <a:noFill/>
        <a:ln>
          <a:noFill/>
        </a:ln>
        <a:effectLst/>
      </c:spPr>
      <c:txPr>
        <a:bodyPr rot="0" vert="horz"/>
        <a:lstStyle/>
        <a:p>
          <a:pPr>
            <a:defRPr/>
          </a:pPr>
          <a:endParaRPr lang="it-IT"/>
        </a:p>
      </c:txPr>
    </c:legend>
    <c:plotVisOnly val="1"/>
    <c:dispBlanksAs val="gap"/>
    <c:showDLblsOverMax val="0"/>
  </c:chart>
  <c:spPr>
    <a:solidFill>
      <a:schemeClr val="bg1"/>
    </a:solidFill>
    <a:ln w="9525" cap="flat" cmpd="sng" algn="ctr">
      <a:noFill/>
      <a:round/>
    </a:ln>
    <a:effectLst/>
  </c:spPr>
  <c:txPr>
    <a:bodyPr/>
    <a:lstStyle/>
    <a:p>
      <a:pPr>
        <a:defRPr sz="800" b="1"/>
      </a:pPr>
      <a:endParaRPr lang="it-IT"/>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Foglio4!$C$16</c:f>
              <c:strCache>
                <c:ptCount val="1"/>
                <c:pt idx="0">
                  <c:v>Italia</c:v>
                </c:pt>
              </c:strCache>
            </c:strRef>
          </c:tx>
          <c:spPr>
            <a:solidFill>
              <a:srgbClr val="CC99FF"/>
            </a:solidFill>
            <a:ln>
              <a:noFill/>
            </a:ln>
            <a:effectLst/>
            <a:sp3d/>
          </c:spPr>
          <c:invertIfNegative val="0"/>
          <c:dLbls>
            <c:dLbl>
              <c:idx val="0"/>
              <c:layout>
                <c:manualLayout>
                  <c:x val="1.8426642479193855E-2"/>
                  <c:y val="-1.328997290729145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0529509988110773E-2"/>
                  <c:y val="-2.657994581458290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0529509988110773E-2"/>
                  <c:y val="-1.771996387638860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052950998811087E-2"/>
                  <c:y val="-2.657994581458290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Foglio4!$B$17:$B$20</c:f>
              <c:strCache>
                <c:ptCount val="4"/>
                <c:pt idx="0">
                  <c:v>Cremona</c:v>
                </c:pt>
                <c:pt idx="1">
                  <c:v>Mantova</c:v>
                </c:pt>
                <c:pt idx="2">
                  <c:v>Lombardia</c:v>
                </c:pt>
                <c:pt idx="3">
                  <c:v>Italia</c:v>
                </c:pt>
              </c:strCache>
            </c:strRef>
          </c:cat>
          <c:val>
            <c:numRef>
              <c:f>Foglio4!$C$17:$C$20</c:f>
              <c:numCache>
                <c:formatCode>General</c:formatCode>
                <c:ptCount val="4"/>
                <c:pt idx="0">
                  <c:v>7.3</c:v>
                </c:pt>
                <c:pt idx="1">
                  <c:v>6.8</c:v>
                </c:pt>
                <c:pt idx="2">
                  <c:v>6.9</c:v>
                </c:pt>
                <c:pt idx="3">
                  <c:v>6.8</c:v>
                </c:pt>
              </c:numCache>
            </c:numRef>
          </c:val>
        </c:ser>
        <c:dLbls>
          <c:showLegendKey val="0"/>
          <c:showVal val="0"/>
          <c:showCatName val="0"/>
          <c:showSerName val="0"/>
          <c:showPercent val="0"/>
          <c:showBubbleSize val="0"/>
        </c:dLbls>
        <c:gapWidth val="150"/>
        <c:shape val="box"/>
        <c:axId val="120004608"/>
        <c:axId val="120006144"/>
        <c:axId val="0"/>
      </c:bar3DChart>
      <c:catAx>
        <c:axId val="120004608"/>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120006144"/>
        <c:crosses val="autoZero"/>
        <c:auto val="1"/>
        <c:lblAlgn val="ctr"/>
        <c:lblOffset val="100"/>
        <c:noMultiLvlLbl val="0"/>
      </c:catAx>
      <c:valAx>
        <c:axId val="120006144"/>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it-IT"/>
          </a:p>
        </c:txPr>
        <c:crossAx val="120004608"/>
        <c:crosses val="autoZero"/>
        <c:crossBetween val="between"/>
      </c:valAx>
      <c:spPr>
        <a:noFill/>
        <a:ln>
          <a:noFill/>
        </a:ln>
        <a:effectLst/>
      </c:spPr>
    </c:plotArea>
    <c:plotVisOnly val="1"/>
    <c:dispBlanksAs val="gap"/>
    <c:showDLblsOverMax val="0"/>
  </c:chart>
  <c:spPr>
    <a:noFill/>
    <a:ln>
      <a:noFill/>
    </a:ln>
    <a:effectLst/>
  </c:spPr>
  <c:txPr>
    <a:bodyPr/>
    <a:lstStyle/>
    <a:p>
      <a:pPr>
        <a:defRPr sz="800" b="1">
          <a:solidFill>
            <a:sysClr val="windowText" lastClr="000000"/>
          </a:solidFill>
          <a:latin typeface="+mj-lt"/>
        </a:defRPr>
      </a:pPr>
      <a:endParaRPr lang="it-IT"/>
    </a:p>
  </c:tx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'istogrammi nazionalita'!$B$48</c:f>
              <c:strCache>
                <c:ptCount val="1"/>
                <c:pt idx="0">
                  <c:v>Italiana</c:v>
                </c:pt>
              </c:strCache>
            </c:strRef>
          </c:tx>
          <c:spPr>
            <a:solidFill>
              <a:schemeClr val="accent1"/>
            </a:solidFill>
            <a:ln>
              <a:noFill/>
            </a:ln>
            <a:effectLst/>
            <a:sp3d/>
          </c:spPr>
          <c:invertIfNegative val="0"/>
          <c:dLbls>
            <c:dLbl>
              <c:idx val="0"/>
              <c:layout>
                <c:manualLayout>
                  <c:x val="0"/>
                  <c:y val="-2.932800920549792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1.256914680235627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nazionalita'!$A$49:$A$50</c:f>
              <c:strCache>
                <c:ptCount val="2"/>
                <c:pt idx="0">
                  <c:v>Cremona</c:v>
                </c:pt>
                <c:pt idx="1">
                  <c:v>Mantova</c:v>
                </c:pt>
              </c:strCache>
            </c:strRef>
          </c:cat>
          <c:val>
            <c:numRef>
              <c:f>'istogrammi nazionalita'!$B$49:$B$50</c:f>
              <c:numCache>
                <c:formatCode>#,#00</c:formatCode>
                <c:ptCount val="2"/>
                <c:pt idx="0">
                  <c:v>6.8</c:v>
                </c:pt>
                <c:pt idx="1">
                  <c:v>6.18</c:v>
                </c:pt>
              </c:numCache>
            </c:numRef>
          </c:val>
        </c:ser>
        <c:ser>
          <c:idx val="1"/>
          <c:order val="1"/>
          <c:tx>
            <c:strRef>
              <c:f>'istogrammi nazionalita'!$C$48</c:f>
              <c:strCache>
                <c:ptCount val="1"/>
                <c:pt idx="0">
                  <c:v>Straniera</c:v>
                </c:pt>
              </c:strCache>
            </c:strRef>
          </c:tx>
          <c:spPr>
            <a:solidFill>
              <a:srgbClr val="FF0000"/>
            </a:solidFill>
            <a:ln>
              <a:noFill/>
            </a:ln>
            <a:effectLst/>
            <a:sp3d/>
          </c:spPr>
          <c:invertIfNegative val="0"/>
          <c:dLbls>
            <c:dLbl>
              <c:idx val="0"/>
              <c:layout>
                <c:manualLayout>
                  <c:x val="1.4398875300449017E-2"/>
                  <c:y val="-2.51382936047125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397938050823029E-2"/>
                  <c:y val="-2.513829360471254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nazionalita'!$A$49:$A$50</c:f>
              <c:strCache>
                <c:ptCount val="2"/>
                <c:pt idx="0">
                  <c:v>Cremona</c:v>
                </c:pt>
                <c:pt idx="1">
                  <c:v>Mantova</c:v>
                </c:pt>
              </c:strCache>
            </c:strRef>
          </c:cat>
          <c:val>
            <c:numRef>
              <c:f>'istogrammi nazionalita'!$C$49:$C$50</c:f>
              <c:numCache>
                <c:formatCode>#,#00</c:formatCode>
                <c:ptCount val="2"/>
                <c:pt idx="0">
                  <c:v>8.3699999999999992</c:v>
                </c:pt>
                <c:pt idx="1">
                  <c:v>7.83</c:v>
                </c:pt>
              </c:numCache>
            </c:numRef>
          </c:val>
        </c:ser>
        <c:ser>
          <c:idx val="2"/>
          <c:order val="2"/>
          <c:tx>
            <c:strRef>
              <c:f>'istogrammi nazionalita'!$D$48</c:f>
              <c:strCache>
                <c:ptCount val="1"/>
              </c:strCache>
            </c:strRef>
          </c:tx>
          <c:spPr>
            <a:solidFill>
              <a:schemeClr val="accent3"/>
            </a:solidFill>
            <a:ln>
              <a:noFill/>
            </a:ln>
            <a:effectLst/>
            <a:sp3d/>
          </c:spPr>
          <c:invertIfNegative val="0"/>
          <c:cat>
            <c:strRef>
              <c:f>'istogrammi nazionalita'!$A$49:$A$50</c:f>
              <c:strCache>
                <c:ptCount val="2"/>
                <c:pt idx="0">
                  <c:v>Cremona</c:v>
                </c:pt>
                <c:pt idx="1">
                  <c:v>Mantova</c:v>
                </c:pt>
              </c:strCache>
            </c:strRef>
          </c:cat>
          <c:val>
            <c:numRef>
              <c:f>'istogrammi nazionalita'!$D$49:$D$50</c:f>
              <c:numCache>
                <c:formatCode>General</c:formatCode>
                <c:ptCount val="2"/>
              </c:numCache>
            </c:numRef>
          </c:val>
        </c:ser>
        <c:dLbls>
          <c:showLegendKey val="0"/>
          <c:showVal val="0"/>
          <c:showCatName val="0"/>
          <c:showSerName val="0"/>
          <c:showPercent val="0"/>
          <c:showBubbleSize val="0"/>
        </c:dLbls>
        <c:gapWidth val="150"/>
        <c:shape val="box"/>
        <c:axId val="120233344"/>
        <c:axId val="120255616"/>
        <c:axId val="0"/>
      </c:bar3DChart>
      <c:catAx>
        <c:axId val="120233344"/>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120255616"/>
        <c:crosses val="autoZero"/>
        <c:auto val="1"/>
        <c:lblAlgn val="ctr"/>
        <c:lblOffset val="100"/>
        <c:noMultiLvlLbl val="0"/>
      </c:catAx>
      <c:valAx>
        <c:axId val="1202556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it-IT"/>
          </a:p>
        </c:txPr>
        <c:crossAx val="120233344"/>
        <c:crosses val="autoZero"/>
        <c:crossBetween val="between"/>
      </c:valAx>
      <c:spPr>
        <a:noFill/>
        <a:ln>
          <a:noFill/>
        </a:ln>
        <a:effectLst/>
      </c:spPr>
    </c:plotArea>
    <c:legend>
      <c:legendPos val="b"/>
      <c:legendEntry>
        <c:idx val="2"/>
        <c:delete val="1"/>
      </c:legendEntry>
      <c:overlay val="0"/>
      <c:spPr>
        <a:noFill/>
        <a:ln>
          <a:noFill/>
        </a:ln>
        <a:effectLst/>
      </c:spPr>
      <c:txPr>
        <a:bodyPr rot="0" vert="horz"/>
        <a:lstStyle/>
        <a:p>
          <a:pPr>
            <a:defRPr/>
          </a:pPr>
          <a:endParaRPr lang="it-IT"/>
        </a:p>
      </c:txPr>
    </c:legend>
    <c:plotVisOnly val="1"/>
    <c:dispBlanksAs val="gap"/>
    <c:showDLblsOverMax val="0"/>
  </c:chart>
  <c:spPr>
    <a:noFill/>
    <a:ln>
      <a:noFill/>
    </a:ln>
    <a:effectLst/>
  </c:spPr>
  <c:txPr>
    <a:bodyPr/>
    <a:lstStyle/>
    <a:p>
      <a:pPr>
        <a:defRPr sz="800" b="1">
          <a:solidFill>
            <a:sysClr val="windowText" lastClr="000000"/>
          </a:solidFill>
          <a:latin typeface="+mj-lt"/>
        </a:defRPr>
      </a:pPr>
      <a:endParaRPr lang="it-IT"/>
    </a:p>
  </c:tx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TC!$B$24</c:f>
              <c:strCache>
                <c:ptCount val="1"/>
                <c:pt idx="0">
                  <c:v>% totale</c:v>
                </c:pt>
              </c:strCache>
            </c:strRef>
          </c:tx>
          <c:spPr>
            <a:solidFill>
              <a:srgbClr val="8064A2">
                <a:lumMod val="60000"/>
                <a:lumOff val="40000"/>
              </a:srgb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TC!$A$25:$A$28</c:f>
              <c:strCache>
                <c:ptCount val="4"/>
                <c:pt idx="0">
                  <c:v>Cremona</c:v>
                </c:pt>
                <c:pt idx="1">
                  <c:v>Mantova</c:v>
                </c:pt>
                <c:pt idx="2">
                  <c:v>Lombardia</c:v>
                </c:pt>
                <c:pt idx="3">
                  <c:v>Italia</c:v>
                </c:pt>
              </c:strCache>
            </c:strRef>
          </c:cat>
          <c:val>
            <c:numRef>
              <c:f>TC!$B$25:$B$28</c:f>
              <c:numCache>
                <c:formatCode>General</c:formatCode>
                <c:ptCount val="4"/>
                <c:pt idx="0">
                  <c:v>29.5</c:v>
                </c:pt>
                <c:pt idx="1">
                  <c:v>33.1</c:v>
                </c:pt>
                <c:pt idx="2">
                  <c:v>27.8</c:v>
                </c:pt>
                <c:pt idx="3">
                  <c:v>35.5</c:v>
                </c:pt>
              </c:numCache>
            </c:numRef>
          </c:val>
        </c:ser>
        <c:dLbls>
          <c:showLegendKey val="0"/>
          <c:showVal val="0"/>
          <c:showCatName val="0"/>
          <c:showSerName val="0"/>
          <c:showPercent val="0"/>
          <c:showBubbleSize val="0"/>
        </c:dLbls>
        <c:gapWidth val="150"/>
        <c:shape val="box"/>
        <c:axId val="120178560"/>
        <c:axId val="120180096"/>
        <c:axId val="0"/>
      </c:bar3DChart>
      <c:catAx>
        <c:axId val="120178560"/>
        <c:scaling>
          <c:orientation val="minMax"/>
        </c:scaling>
        <c:delete val="0"/>
        <c:axPos val="b"/>
        <c:numFmt formatCode="General" sourceLinked="0"/>
        <c:majorTickMark val="none"/>
        <c:minorTickMark val="none"/>
        <c:tickLblPos val="nextTo"/>
        <c:crossAx val="120180096"/>
        <c:crosses val="autoZero"/>
        <c:auto val="1"/>
        <c:lblAlgn val="ctr"/>
        <c:lblOffset val="100"/>
        <c:noMultiLvlLbl val="0"/>
      </c:catAx>
      <c:valAx>
        <c:axId val="120180096"/>
        <c:scaling>
          <c:orientation val="minMax"/>
        </c:scaling>
        <c:delete val="0"/>
        <c:axPos val="l"/>
        <c:majorGridlines/>
        <c:numFmt formatCode="General" sourceLinked="1"/>
        <c:majorTickMark val="none"/>
        <c:minorTickMark val="none"/>
        <c:tickLblPos val="nextTo"/>
        <c:crossAx val="120178560"/>
        <c:crosses val="autoZero"/>
        <c:crossBetween val="between"/>
      </c:valAx>
      <c:spPr>
        <a:ln>
          <a:noFill/>
        </a:ln>
      </c:spPr>
    </c:plotArea>
    <c:plotVisOnly val="1"/>
    <c:dispBlanksAs val="gap"/>
    <c:showDLblsOverMax val="0"/>
  </c:chart>
  <c:spPr>
    <a:solidFill>
      <a:sysClr val="window" lastClr="FFFFFF"/>
    </a:solidFill>
    <a:ln>
      <a:noFill/>
    </a:ln>
  </c:spPr>
  <c:txPr>
    <a:bodyPr/>
    <a:lstStyle/>
    <a:p>
      <a:pPr>
        <a:defRPr sz="800" b="1"/>
      </a:pPr>
      <a:endParaRPr lang="it-IT"/>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Mortalità T. del polmone</a:t>
            </a:r>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'[Grafico in Microsoft Word]mortalita 2007-2015 x100000'!$Q$35</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Word]mortalita 2007-2015 x100000'!$P$36:$P$38</c:f>
              <c:strCache>
                <c:ptCount val="3"/>
                <c:pt idx="0">
                  <c:v>MANTOVA</c:v>
                </c:pt>
                <c:pt idx="1">
                  <c:v>CREMONA</c:v>
                </c:pt>
                <c:pt idx="2">
                  <c:v>CREMA</c:v>
                </c:pt>
              </c:strCache>
            </c:strRef>
          </c:cat>
          <c:val>
            <c:numRef>
              <c:f>'[Grafico in Microsoft Word]mortalita 2007-2015 x100000'!$Q$36:$Q$38</c:f>
              <c:numCache>
                <c:formatCode>0.0</c:formatCode>
                <c:ptCount val="3"/>
                <c:pt idx="0">
                  <c:v>26.64</c:v>
                </c:pt>
                <c:pt idx="1">
                  <c:v>28.72</c:v>
                </c:pt>
                <c:pt idx="2">
                  <c:v>28.87</c:v>
                </c:pt>
              </c:numCache>
            </c:numRef>
          </c:val>
        </c:ser>
        <c:ser>
          <c:idx val="1"/>
          <c:order val="1"/>
          <c:tx>
            <c:strRef>
              <c:f>'[Grafico in Microsoft Word]mortalita 2007-2015 x100000'!$R$35</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'[Grafico in Microsoft Word]mortalita 2007-2015 x100000'!$P$36:$P$38</c:f>
              <c:strCache>
                <c:ptCount val="3"/>
                <c:pt idx="0">
                  <c:v>MANTOVA</c:v>
                </c:pt>
                <c:pt idx="1">
                  <c:v>CREMONA</c:v>
                </c:pt>
                <c:pt idx="2">
                  <c:v>CREMA</c:v>
                </c:pt>
              </c:strCache>
            </c:strRef>
          </c:cat>
          <c:val>
            <c:numRef>
              <c:f>'[Grafico in Microsoft Word]mortalita 2007-2015 x100000'!$R$36:$R$38</c:f>
              <c:numCache>
                <c:formatCode>0.0</c:formatCode>
                <c:ptCount val="3"/>
                <c:pt idx="0">
                  <c:v>113.03</c:v>
                </c:pt>
                <c:pt idx="1">
                  <c:v>108.51</c:v>
                </c:pt>
                <c:pt idx="2">
                  <c:v>109.67</c:v>
                </c:pt>
              </c:numCache>
            </c:numRef>
          </c:val>
        </c:ser>
        <c:dLbls>
          <c:showLegendKey val="0"/>
          <c:showVal val="0"/>
          <c:showCatName val="0"/>
          <c:showSerName val="0"/>
          <c:showPercent val="0"/>
          <c:showBubbleSize val="0"/>
        </c:dLbls>
        <c:gapWidth val="150"/>
        <c:shape val="box"/>
        <c:axId val="90368256"/>
        <c:axId val="83431424"/>
        <c:axId val="0"/>
      </c:bar3DChart>
      <c:catAx>
        <c:axId val="90368256"/>
        <c:scaling>
          <c:orientation val="minMax"/>
        </c:scaling>
        <c:delete val="0"/>
        <c:axPos val="l"/>
        <c:majorTickMark val="none"/>
        <c:minorTickMark val="none"/>
        <c:tickLblPos val="nextTo"/>
        <c:txPr>
          <a:bodyPr/>
          <a:lstStyle/>
          <a:p>
            <a:pPr>
              <a:defRPr sz="800" b="1"/>
            </a:pPr>
            <a:endParaRPr lang="it-IT"/>
          </a:p>
        </c:txPr>
        <c:crossAx val="83431424"/>
        <c:crosses val="autoZero"/>
        <c:auto val="1"/>
        <c:lblAlgn val="ctr"/>
        <c:lblOffset val="100"/>
        <c:noMultiLvlLbl val="0"/>
      </c:catAx>
      <c:valAx>
        <c:axId val="83431424"/>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90368256"/>
        <c:crosses val="autoZero"/>
        <c:crossBetween val="between"/>
      </c:valAx>
    </c:plotArea>
    <c:plotVisOnly val="1"/>
    <c:dispBlanksAs val="gap"/>
    <c:showDLblsOverMax val="0"/>
  </c:chart>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'istogrammi nazionalita'!$B$40</c:f>
              <c:strCache>
                <c:ptCount val="1"/>
                <c:pt idx="0">
                  <c:v>Italiana</c:v>
                </c:pt>
              </c:strCache>
            </c:strRef>
          </c:tx>
          <c:spPr>
            <a:solidFill>
              <a:schemeClr val="accent1"/>
            </a:solidFill>
            <a:ln>
              <a:noFill/>
            </a:ln>
            <a:effectLst/>
            <a:sp3d/>
          </c:spPr>
          <c:invertIfNegative val="0"/>
          <c:dLbls>
            <c:dLbl>
              <c:idx val="0"/>
              <c:layout>
                <c:manualLayout>
                  <c:x val="1.1999062750374144E-2"/>
                  <c:y val="-3.240740740740740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7986878505238E-2"/>
                  <c:y val="-3.7037037037037035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nazionalita'!$A$41:$A$42</c:f>
              <c:strCache>
                <c:ptCount val="2"/>
                <c:pt idx="0">
                  <c:v>Cremona</c:v>
                </c:pt>
                <c:pt idx="1">
                  <c:v>Mantova</c:v>
                </c:pt>
              </c:strCache>
            </c:strRef>
          </c:cat>
          <c:val>
            <c:numRef>
              <c:f>'istogrammi nazionalita'!$B$41:$B$42</c:f>
              <c:numCache>
                <c:formatCode>General</c:formatCode>
                <c:ptCount val="2"/>
                <c:pt idx="0">
                  <c:v>10.7</c:v>
                </c:pt>
                <c:pt idx="1">
                  <c:v>14.11</c:v>
                </c:pt>
              </c:numCache>
            </c:numRef>
          </c:val>
        </c:ser>
        <c:ser>
          <c:idx val="1"/>
          <c:order val="1"/>
          <c:tx>
            <c:strRef>
              <c:f>'istogrammi nazionalita'!$C$40</c:f>
              <c:strCache>
                <c:ptCount val="1"/>
                <c:pt idx="0">
                  <c:v>Straniera</c:v>
                </c:pt>
              </c:strCache>
            </c:strRef>
          </c:tx>
          <c:spPr>
            <a:solidFill>
              <a:srgbClr val="FF0000"/>
            </a:solidFill>
            <a:ln>
              <a:noFill/>
            </a:ln>
            <a:effectLst/>
            <a:sp3d/>
          </c:spPr>
          <c:invertIfNegative val="0"/>
          <c:dLbls>
            <c:dLbl>
              <c:idx val="0"/>
              <c:layout>
                <c:manualLayout>
                  <c:x val="1.4398875300448973E-2"/>
                  <c:y val="-2.777777777777777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1598312950673371E-2"/>
                  <c:y val="-2.7777777777777776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nazionalita'!$A$41:$A$42</c:f>
              <c:strCache>
                <c:ptCount val="2"/>
                <c:pt idx="0">
                  <c:v>Cremona</c:v>
                </c:pt>
                <c:pt idx="1">
                  <c:v>Mantova</c:v>
                </c:pt>
              </c:strCache>
            </c:strRef>
          </c:cat>
          <c:val>
            <c:numRef>
              <c:f>'istogrammi nazionalita'!$C$41:$C$42</c:f>
              <c:numCache>
                <c:formatCode>General</c:formatCode>
                <c:ptCount val="2"/>
                <c:pt idx="0">
                  <c:v>9.07</c:v>
                </c:pt>
                <c:pt idx="1">
                  <c:v>11.78</c:v>
                </c:pt>
              </c:numCache>
            </c:numRef>
          </c:val>
        </c:ser>
        <c:ser>
          <c:idx val="2"/>
          <c:order val="2"/>
          <c:tx>
            <c:strRef>
              <c:f>'istogrammi nazionalita'!$D$40</c:f>
              <c:strCache>
                <c:ptCount val="1"/>
                <c:pt idx="0">
                  <c:v>Media</c:v>
                </c:pt>
              </c:strCache>
            </c:strRef>
          </c:tx>
          <c:spPr>
            <a:solidFill>
              <a:srgbClr val="CC99FF"/>
            </a:solidFill>
            <a:ln>
              <a:noFill/>
            </a:ln>
            <a:effectLst/>
            <a:sp3d/>
          </c:spPr>
          <c:invertIfNegative val="0"/>
          <c:dLbls>
            <c:dLbl>
              <c:idx val="0"/>
              <c:layout>
                <c:manualLayout>
                  <c:x val="2.3998125500748289E-2"/>
                  <c:y val="-4.629629629629629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3998125500748289E-2"/>
                  <c:y val="-3.7037037037037035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nazionalita'!$A$41:$A$42</c:f>
              <c:strCache>
                <c:ptCount val="2"/>
                <c:pt idx="0">
                  <c:v>Cremona</c:v>
                </c:pt>
                <c:pt idx="1">
                  <c:v>Mantova</c:v>
                </c:pt>
              </c:strCache>
            </c:strRef>
          </c:cat>
          <c:val>
            <c:numRef>
              <c:f>'istogrammi nazionalita'!$D$41:$D$42</c:f>
              <c:numCache>
                <c:formatCode>General</c:formatCode>
                <c:ptCount val="2"/>
                <c:pt idx="0">
                  <c:v>10.18</c:v>
                </c:pt>
                <c:pt idx="1">
                  <c:v>13.27</c:v>
                </c:pt>
              </c:numCache>
            </c:numRef>
          </c:val>
        </c:ser>
        <c:dLbls>
          <c:showLegendKey val="0"/>
          <c:showVal val="0"/>
          <c:showCatName val="0"/>
          <c:showSerName val="0"/>
          <c:showPercent val="0"/>
          <c:showBubbleSize val="0"/>
        </c:dLbls>
        <c:gapWidth val="150"/>
        <c:shape val="box"/>
        <c:axId val="120432512"/>
        <c:axId val="120434048"/>
        <c:axId val="0"/>
      </c:bar3DChart>
      <c:catAx>
        <c:axId val="120432512"/>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120434048"/>
        <c:crosses val="autoZero"/>
        <c:auto val="1"/>
        <c:lblAlgn val="ctr"/>
        <c:lblOffset val="100"/>
        <c:noMultiLvlLbl val="0"/>
      </c:catAx>
      <c:valAx>
        <c:axId val="120434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it-IT"/>
          </a:p>
        </c:txPr>
        <c:crossAx val="120432512"/>
        <c:crosses val="autoZero"/>
        <c:crossBetween val="between"/>
      </c:valAx>
      <c:spPr>
        <a:noFill/>
        <a:ln>
          <a:noFill/>
        </a:ln>
        <a:effectLst/>
      </c:spPr>
    </c:plotArea>
    <c:legend>
      <c:legendPos val="b"/>
      <c:overlay val="0"/>
      <c:spPr>
        <a:noFill/>
        <a:ln>
          <a:noFill/>
        </a:ln>
        <a:effectLst/>
      </c:spPr>
      <c:txPr>
        <a:bodyPr rot="0" vert="horz"/>
        <a:lstStyle/>
        <a:p>
          <a:pPr>
            <a:defRPr/>
          </a:pPr>
          <a:endParaRPr lang="it-IT"/>
        </a:p>
      </c:txPr>
    </c:legend>
    <c:plotVisOnly val="1"/>
    <c:dispBlanksAs val="gap"/>
    <c:showDLblsOverMax val="0"/>
  </c:chart>
  <c:spPr>
    <a:noFill/>
    <a:ln>
      <a:noFill/>
    </a:ln>
    <a:effectLst/>
  </c:spPr>
  <c:txPr>
    <a:bodyPr/>
    <a:lstStyle/>
    <a:p>
      <a:pPr>
        <a:defRPr sz="800" b="1">
          <a:solidFill>
            <a:sysClr val="windowText" lastClr="000000"/>
          </a:solidFill>
        </a:defRPr>
      </a:pPr>
      <a:endParaRPr lang="it-IT"/>
    </a:p>
  </c:txPr>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'istogrammi nazionalita'!$B$31</c:f>
              <c:strCache>
                <c:ptCount val="1"/>
                <c:pt idx="0">
                  <c:v>Italiana</c:v>
                </c:pt>
              </c:strCache>
            </c:strRef>
          </c:tx>
          <c:spPr>
            <a:solidFill>
              <a:schemeClr val="accent1"/>
            </a:solidFill>
            <a:ln>
              <a:noFill/>
            </a:ln>
            <a:effectLst/>
            <a:sp3d/>
          </c:spPr>
          <c:invertIfNegative val="0"/>
          <c:dLbls>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nazionalita'!$A$32:$A$33</c:f>
              <c:strCache>
                <c:ptCount val="2"/>
                <c:pt idx="0">
                  <c:v>Cremona</c:v>
                </c:pt>
                <c:pt idx="1">
                  <c:v>Mantova</c:v>
                </c:pt>
              </c:strCache>
            </c:strRef>
          </c:cat>
          <c:val>
            <c:numRef>
              <c:f>'istogrammi nazionalita'!$B$32:$B$33</c:f>
              <c:numCache>
                <c:formatCode>General</c:formatCode>
                <c:ptCount val="2"/>
                <c:pt idx="0">
                  <c:v>22.62</c:v>
                </c:pt>
                <c:pt idx="1">
                  <c:v>27.97</c:v>
                </c:pt>
              </c:numCache>
            </c:numRef>
          </c:val>
        </c:ser>
        <c:ser>
          <c:idx val="1"/>
          <c:order val="1"/>
          <c:tx>
            <c:strRef>
              <c:f>'istogrammi nazionalita'!$C$31</c:f>
              <c:strCache>
                <c:ptCount val="1"/>
                <c:pt idx="0">
                  <c:v>Straniera</c:v>
                </c:pt>
              </c:strCache>
            </c:strRef>
          </c:tx>
          <c:spPr>
            <a:solidFill>
              <a:srgbClr val="FF0000"/>
            </a:solidFill>
            <a:ln>
              <a:noFill/>
            </a:ln>
            <a:effectLst/>
            <a:sp3d/>
          </c:spPr>
          <c:invertIfNegative val="0"/>
          <c:dLbls>
            <c:dLbl>
              <c:idx val="0"/>
              <c:layout>
                <c:manualLayout>
                  <c:x val="1.9444444444444445E-2"/>
                  <c:y val="-2.777777777777777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128723339174166E-2"/>
                  <c:y val="-2.5815319838921158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nazionalita'!$A$32:$A$33</c:f>
              <c:strCache>
                <c:ptCount val="2"/>
                <c:pt idx="0">
                  <c:v>Cremona</c:v>
                </c:pt>
                <c:pt idx="1">
                  <c:v>Mantova</c:v>
                </c:pt>
              </c:strCache>
            </c:strRef>
          </c:cat>
          <c:val>
            <c:numRef>
              <c:f>'istogrammi nazionalita'!$C$32:$C$33</c:f>
              <c:numCache>
                <c:formatCode>General</c:formatCode>
                <c:ptCount val="2"/>
                <c:pt idx="0">
                  <c:v>8.32</c:v>
                </c:pt>
                <c:pt idx="1">
                  <c:v>11.8</c:v>
                </c:pt>
              </c:numCache>
            </c:numRef>
          </c:val>
        </c:ser>
        <c:ser>
          <c:idx val="2"/>
          <c:order val="2"/>
          <c:tx>
            <c:strRef>
              <c:f>'istogrammi nazionalita'!$D$31</c:f>
              <c:strCache>
                <c:ptCount val="1"/>
                <c:pt idx="0">
                  <c:v>Media</c:v>
                </c:pt>
              </c:strCache>
            </c:strRef>
          </c:tx>
          <c:spPr>
            <a:solidFill>
              <a:srgbClr val="CC99FF"/>
            </a:solidFill>
            <a:ln>
              <a:noFill/>
            </a:ln>
            <a:effectLst/>
            <a:sp3d/>
          </c:spPr>
          <c:invertIfNegative val="0"/>
          <c:dLbls>
            <c:numFmt formatCode="#,##0.0" sourceLinked="0"/>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'istogrammi nazionalita'!$A$32:$A$33</c:f>
              <c:strCache>
                <c:ptCount val="2"/>
                <c:pt idx="0">
                  <c:v>Cremona</c:v>
                </c:pt>
                <c:pt idx="1">
                  <c:v>Mantova</c:v>
                </c:pt>
              </c:strCache>
            </c:strRef>
          </c:cat>
          <c:val>
            <c:numRef>
              <c:f>'istogrammi nazionalita'!$D$32:$D$33</c:f>
              <c:numCache>
                <c:formatCode>General</c:formatCode>
                <c:ptCount val="2"/>
                <c:pt idx="0">
                  <c:v>18.04</c:v>
                </c:pt>
                <c:pt idx="1">
                  <c:v>21.99</c:v>
                </c:pt>
              </c:numCache>
            </c:numRef>
          </c:val>
        </c:ser>
        <c:dLbls>
          <c:showLegendKey val="0"/>
          <c:showVal val="0"/>
          <c:showCatName val="0"/>
          <c:showSerName val="0"/>
          <c:showPercent val="0"/>
          <c:showBubbleSize val="0"/>
        </c:dLbls>
        <c:gapWidth val="150"/>
        <c:shape val="box"/>
        <c:axId val="120605312"/>
        <c:axId val="120635776"/>
        <c:axId val="0"/>
      </c:bar3DChart>
      <c:catAx>
        <c:axId val="120605312"/>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120635776"/>
        <c:crosses val="autoZero"/>
        <c:auto val="1"/>
        <c:lblAlgn val="ctr"/>
        <c:lblOffset val="100"/>
        <c:noMultiLvlLbl val="0"/>
      </c:catAx>
      <c:valAx>
        <c:axId val="12063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it-IT"/>
          </a:p>
        </c:txPr>
        <c:crossAx val="120605312"/>
        <c:crosses val="autoZero"/>
        <c:crossBetween val="between"/>
      </c:valAx>
      <c:spPr>
        <a:noFill/>
        <a:ln>
          <a:noFill/>
        </a:ln>
        <a:effectLst/>
      </c:spPr>
    </c:plotArea>
    <c:legend>
      <c:legendPos val="b"/>
      <c:overlay val="0"/>
      <c:spPr>
        <a:noFill/>
        <a:ln>
          <a:noFill/>
        </a:ln>
        <a:effectLst/>
      </c:spPr>
      <c:txPr>
        <a:bodyPr rot="0" vert="horz"/>
        <a:lstStyle/>
        <a:p>
          <a:pPr>
            <a:defRPr/>
          </a:pPr>
          <a:endParaRPr lang="it-IT"/>
        </a:p>
      </c:txPr>
    </c:legend>
    <c:plotVisOnly val="1"/>
    <c:dispBlanksAs val="gap"/>
    <c:showDLblsOverMax val="0"/>
  </c:chart>
  <c:spPr>
    <a:noFill/>
    <a:ln>
      <a:noFill/>
    </a:ln>
    <a:effectLst/>
  </c:spPr>
  <c:txPr>
    <a:bodyPr/>
    <a:lstStyle/>
    <a:p>
      <a:pPr>
        <a:defRPr sz="800" b="1">
          <a:solidFill>
            <a:sysClr val="windowText" lastClr="000000"/>
          </a:solidFill>
          <a:latin typeface="+mj-lt"/>
        </a:defRPr>
      </a:pPr>
      <a:endParaRPr lang="it-IT"/>
    </a:p>
  </c:txPr>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spPr>
            <a:solidFill>
              <a:srgbClr val="CC99FF"/>
            </a:solidFill>
          </c:spPr>
          <c:invertIfNegative val="0"/>
          <c:dLbls>
            <c:dLbl>
              <c:idx val="0"/>
              <c:layout>
                <c:manualLayout>
                  <c:x val="2.5000000000000001E-2"/>
                  <c:y val="-0.3657407407407407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3333333333333333E-2"/>
                  <c:y val="-0.37962962962962959"/>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3333333333333333E-2"/>
                  <c:y val="-0.30555555555555558"/>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3333333333333333E-2"/>
                  <c:y val="-0.2916666666666666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istogrammi!$A$78:$A$81</c:f>
              <c:strCache>
                <c:ptCount val="4"/>
                <c:pt idx="0">
                  <c:v>Cremona</c:v>
                </c:pt>
                <c:pt idx="1">
                  <c:v>Mantova</c:v>
                </c:pt>
                <c:pt idx="2">
                  <c:v>Lombardia</c:v>
                </c:pt>
                <c:pt idx="3">
                  <c:v>Italia</c:v>
                </c:pt>
              </c:strCache>
            </c:strRef>
          </c:cat>
          <c:val>
            <c:numRef>
              <c:f>istogrammi!$B$78:$B$81</c:f>
              <c:numCache>
                <c:formatCode>General</c:formatCode>
                <c:ptCount val="4"/>
                <c:pt idx="0">
                  <c:v>0.86</c:v>
                </c:pt>
                <c:pt idx="1">
                  <c:v>0.88</c:v>
                </c:pt>
                <c:pt idx="2">
                  <c:v>0.62</c:v>
                </c:pt>
                <c:pt idx="3">
                  <c:v>0.64</c:v>
                </c:pt>
              </c:numCache>
            </c:numRef>
          </c:val>
        </c:ser>
        <c:dLbls>
          <c:showLegendKey val="0"/>
          <c:showVal val="0"/>
          <c:showCatName val="0"/>
          <c:showSerName val="0"/>
          <c:showPercent val="0"/>
          <c:showBubbleSize val="0"/>
        </c:dLbls>
        <c:gapWidth val="55"/>
        <c:gapDepth val="55"/>
        <c:shape val="box"/>
        <c:axId val="120689408"/>
        <c:axId val="120690944"/>
        <c:axId val="0"/>
      </c:bar3DChart>
      <c:catAx>
        <c:axId val="120689408"/>
        <c:scaling>
          <c:orientation val="minMax"/>
        </c:scaling>
        <c:delete val="0"/>
        <c:axPos val="b"/>
        <c:numFmt formatCode="General" sourceLinked="0"/>
        <c:majorTickMark val="none"/>
        <c:minorTickMark val="none"/>
        <c:tickLblPos val="nextTo"/>
        <c:crossAx val="120690944"/>
        <c:crosses val="autoZero"/>
        <c:auto val="1"/>
        <c:lblAlgn val="ctr"/>
        <c:lblOffset val="100"/>
        <c:noMultiLvlLbl val="0"/>
      </c:catAx>
      <c:valAx>
        <c:axId val="120690944"/>
        <c:scaling>
          <c:orientation val="minMax"/>
        </c:scaling>
        <c:delete val="0"/>
        <c:axPos val="l"/>
        <c:majorGridlines/>
        <c:numFmt formatCode="General" sourceLinked="1"/>
        <c:majorTickMark val="none"/>
        <c:minorTickMark val="none"/>
        <c:tickLblPos val="nextTo"/>
        <c:crossAx val="120689408"/>
        <c:crosses val="autoZero"/>
        <c:crossBetween val="between"/>
      </c:valAx>
    </c:plotArea>
    <c:plotVisOnly val="1"/>
    <c:dispBlanksAs val="gap"/>
    <c:showDLblsOverMax val="0"/>
  </c:chart>
  <c:spPr>
    <a:noFill/>
    <a:ln>
      <a:noFill/>
    </a:ln>
  </c:spPr>
  <c:txPr>
    <a:bodyPr/>
    <a:lstStyle/>
    <a:p>
      <a:pPr>
        <a:defRPr sz="800" b="1">
          <a:latin typeface="+mj-lt"/>
        </a:defRPr>
      </a:pPr>
      <a:endParaRPr lang="it-IT"/>
    </a:p>
  </c:txPr>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istogrammi!$B$70</c:f>
              <c:strCache>
                <c:ptCount val="1"/>
                <c:pt idx="0">
                  <c:v>Italiana</c:v>
                </c:pt>
              </c:strCache>
            </c:strRef>
          </c:tx>
          <c:spPr>
            <a:solidFill>
              <a:schemeClr val="accent1"/>
            </a:solidFill>
            <a:ln>
              <a:noFill/>
            </a:ln>
            <a:effectLst/>
            <a:sp3d/>
          </c:spPr>
          <c:invertIfNegative val="0"/>
          <c:dLbls>
            <c:dLbl>
              <c:idx val="0"/>
              <c:layout>
                <c:manualLayout>
                  <c:x val="8.3333333333333332E-3"/>
                  <c:y val="-4.16666666666666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3333333333333332E-3"/>
                  <c:y val="-4.166666666666666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istogrammi!$A$71:$A$72</c:f>
              <c:strCache>
                <c:ptCount val="2"/>
                <c:pt idx="0">
                  <c:v>Cremona</c:v>
                </c:pt>
                <c:pt idx="1">
                  <c:v>Mantova</c:v>
                </c:pt>
              </c:strCache>
            </c:strRef>
          </c:cat>
          <c:val>
            <c:numRef>
              <c:f>istogrammi!$B$71:$B$72</c:f>
              <c:numCache>
                <c:formatCode>General</c:formatCode>
                <c:ptCount val="2"/>
                <c:pt idx="0">
                  <c:v>0.68</c:v>
                </c:pt>
                <c:pt idx="1">
                  <c:v>0.74</c:v>
                </c:pt>
              </c:numCache>
            </c:numRef>
          </c:val>
        </c:ser>
        <c:ser>
          <c:idx val="1"/>
          <c:order val="1"/>
          <c:tx>
            <c:strRef>
              <c:f>istogrammi!$C$70</c:f>
              <c:strCache>
                <c:ptCount val="1"/>
                <c:pt idx="0">
                  <c:v>Straniera</c:v>
                </c:pt>
              </c:strCache>
            </c:strRef>
          </c:tx>
          <c:spPr>
            <a:solidFill>
              <a:srgbClr val="FF0000"/>
            </a:solidFill>
            <a:ln>
              <a:noFill/>
            </a:ln>
            <a:effectLst/>
            <a:sp3d/>
          </c:spPr>
          <c:invertIfNegative val="0"/>
          <c:dLbls>
            <c:dLbl>
              <c:idx val="0"/>
              <c:layout>
                <c:manualLayout>
                  <c:x val="1.6666666666666666E-2"/>
                  <c:y val="-4.629629629629631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444444444444545E-2"/>
                  <c:y val="-3.240740740740740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istogrammi!$A$71:$A$72</c:f>
              <c:strCache>
                <c:ptCount val="2"/>
                <c:pt idx="0">
                  <c:v>Cremona</c:v>
                </c:pt>
                <c:pt idx="1">
                  <c:v>Mantova</c:v>
                </c:pt>
              </c:strCache>
            </c:strRef>
          </c:cat>
          <c:val>
            <c:numRef>
              <c:f>istogrammi!$C$71:$C$72</c:f>
              <c:numCache>
                <c:formatCode>General</c:formatCode>
                <c:ptCount val="2"/>
                <c:pt idx="0">
                  <c:v>1.23</c:v>
                </c:pt>
                <c:pt idx="1">
                  <c:v>1.1299999999999999</c:v>
                </c:pt>
              </c:numCache>
            </c:numRef>
          </c:val>
        </c:ser>
        <c:dLbls>
          <c:showLegendKey val="0"/>
          <c:showVal val="0"/>
          <c:showCatName val="0"/>
          <c:showSerName val="0"/>
          <c:showPercent val="0"/>
          <c:showBubbleSize val="0"/>
        </c:dLbls>
        <c:gapWidth val="150"/>
        <c:shape val="box"/>
        <c:axId val="79412608"/>
        <c:axId val="79414400"/>
        <c:axId val="0"/>
      </c:bar3DChart>
      <c:catAx>
        <c:axId val="79412608"/>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79414400"/>
        <c:crosses val="autoZero"/>
        <c:auto val="1"/>
        <c:lblAlgn val="ctr"/>
        <c:lblOffset val="100"/>
        <c:noMultiLvlLbl val="0"/>
      </c:catAx>
      <c:valAx>
        <c:axId val="794144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it-IT"/>
          </a:p>
        </c:txPr>
        <c:crossAx val="79412608"/>
        <c:crosses val="autoZero"/>
        <c:crossBetween val="between"/>
      </c:valAx>
      <c:spPr>
        <a:noFill/>
        <a:ln>
          <a:noFill/>
        </a:ln>
        <a:effectLst/>
      </c:spPr>
    </c:plotArea>
    <c:legend>
      <c:legendPos val="b"/>
      <c:overlay val="0"/>
      <c:spPr>
        <a:noFill/>
        <a:ln>
          <a:noFill/>
        </a:ln>
        <a:effectLst/>
      </c:spPr>
      <c:txPr>
        <a:bodyPr rot="0" vert="horz"/>
        <a:lstStyle/>
        <a:p>
          <a:pPr>
            <a:defRPr/>
          </a:pPr>
          <a:endParaRPr lang="it-IT"/>
        </a:p>
      </c:txPr>
    </c:legend>
    <c:plotVisOnly val="1"/>
    <c:dispBlanksAs val="gap"/>
    <c:showDLblsOverMax val="0"/>
  </c:chart>
  <c:spPr>
    <a:noFill/>
    <a:ln w="9525" cap="flat" cmpd="sng" algn="ctr">
      <a:noFill/>
      <a:round/>
    </a:ln>
    <a:effectLst/>
  </c:spPr>
  <c:txPr>
    <a:bodyPr/>
    <a:lstStyle/>
    <a:p>
      <a:pPr>
        <a:defRPr sz="800" b="1">
          <a:latin typeface="+mj-lt"/>
        </a:defRPr>
      </a:pPr>
      <a:endParaRPr lang="it-IT"/>
    </a:p>
  </c:txPr>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Foglio4!$C$39</c:f>
              <c:strCache>
                <c:ptCount val="1"/>
                <c:pt idx="0">
                  <c:v>&lt;1500g</c:v>
                </c:pt>
              </c:strCache>
            </c:strRef>
          </c:tx>
          <c:spPr>
            <a:solidFill>
              <a:schemeClr val="accent6">
                <a:lumMod val="75000"/>
              </a:schemeClr>
            </a:solidFill>
            <a:ln>
              <a:noFill/>
            </a:ln>
            <a:effectLst/>
            <a:sp3d/>
          </c:spPr>
          <c:invertIfNegative val="0"/>
          <c:dLbls>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Foglio4!$B$40:$B$43</c:f>
              <c:strCache>
                <c:ptCount val="4"/>
                <c:pt idx="0">
                  <c:v>Cremona</c:v>
                </c:pt>
                <c:pt idx="1">
                  <c:v>Mantova</c:v>
                </c:pt>
                <c:pt idx="2">
                  <c:v>Lombardia</c:v>
                </c:pt>
                <c:pt idx="3">
                  <c:v>Italia</c:v>
                </c:pt>
              </c:strCache>
            </c:strRef>
          </c:cat>
          <c:val>
            <c:numRef>
              <c:f>Foglio4!$C$40:$C$43</c:f>
              <c:numCache>
                <c:formatCode>General</c:formatCode>
                <c:ptCount val="4"/>
                <c:pt idx="0">
                  <c:v>1.2</c:v>
                </c:pt>
                <c:pt idx="1">
                  <c:v>1.3</c:v>
                </c:pt>
                <c:pt idx="2">
                  <c:v>1.1000000000000001</c:v>
                </c:pt>
                <c:pt idx="3">
                  <c:v>1.1000000000000001</c:v>
                </c:pt>
              </c:numCache>
            </c:numRef>
          </c:val>
        </c:ser>
        <c:ser>
          <c:idx val="1"/>
          <c:order val="1"/>
          <c:tx>
            <c:strRef>
              <c:f>Foglio4!$D$39</c:f>
              <c:strCache>
                <c:ptCount val="1"/>
                <c:pt idx="0">
                  <c:v>1500g-2499g</c:v>
                </c:pt>
              </c:strCache>
            </c:strRef>
          </c:tx>
          <c:spPr>
            <a:solidFill>
              <a:srgbClr val="FFFF00"/>
            </a:solidFill>
            <a:ln>
              <a:noFill/>
            </a:ln>
            <a:effectLst/>
            <a:sp3d/>
          </c:spPr>
          <c:invertIfNegative val="0"/>
          <c:dLbls>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Foglio4!$B$40:$B$43</c:f>
              <c:strCache>
                <c:ptCount val="4"/>
                <c:pt idx="0">
                  <c:v>Cremona</c:v>
                </c:pt>
                <c:pt idx="1">
                  <c:v>Mantova</c:v>
                </c:pt>
                <c:pt idx="2">
                  <c:v>Lombardia</c:v>
                </c:pt>
                <c:pt idx="3">
                  <c:v>Italia</c:v>
                </c:pt>
              </c:strCache>
            </c:strRef>
          </c:cat>
          <c:val>
            <c:numRef>
              <c:f>Foglio4!$D$40:$D$43</c:f>
              <c:numCache>
                <c:formatCode>General</c:formatCode>
                <c:ptCount val="4"/>
                <c:pt idx="0">
                  <c:v>5.7</c:v>
                </c:pt>
                <c:pt idx="1">
                  <c:v>6.2</c:v>
                </c:pt>
                <c:pt idx="2">
                  <c:v>6.5</c:v>
                </c:pt>
                <c:pt idx="3">
                  <c:v>6.3</c:v>
                </c:pt>
              </c:numCache>
            </c:numRef>
          </c:val>
        </c:ser>
        <c:dLbls>
          <c:showLegendKey val="0"/>
          <c:showVal val="0"/>
          <c:showCatName val="0"/>
          <c:showSerName val="0"/>
          <c:showPercent val="0"/>
          <c:showBubbleSize val="0"/>
        </c:dLbls>
        <c:gapWidth val="150"/>
        <c:shape val="box"/>
        <c:axId val="121076352"/>
        <c:axId val="121086336"/>
        <c:axId val="0"/>
      </c:bar3DChart>
      <c:catAx>
        <c:axId val="121076352"/>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121086336"/>
        <c:crosses val="autoZero"/>
        <c:auto val="1"/>
        <c:lblAlgn val="ctr"/>
        <c:lblOffset val="100"/>
        <c:noMultiLvlLbl val="0"/>
      </c:catAx>
      <c:valAx>
        <c:axId val="121086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it-IT"/>
          </a:p>
        </c:txPr>
        <c:crossAx val="121076352"/>
        <c:crosses val="autoZero"/>
        <c:crossBetween val="between"/>
      </c:valAx>
      <c:spPr>
        <a:noFill/>
        <a:ln>
          <a:noFill/>
        </a:ln>
        <a:effectLst/>
      </c:spPr>
    </c:plotArea>
    <c:legend>
      <c:legendPos val="b"/>
      <c:overlay val="0"/>
      <c:spPr>
        <a:noFill/>
        <a:ln>
          <a:noFill/>
        </a:ln>
        <a:effectLst/>
      </c:spPr>
      <c:txPr>
        <a:bodyPr rot="0" vert="horz"/>
        <a:lstStyle/>
        <a:p>
          <a:pPr>
            <a:defRPr/>
          </a:pPr>
          <a:endParaRPr lang="it-IT"/>
        </a:p>
      </c:txPr>
    </c:legend>
    <c:plotVisOnly val="1"/>
    <c:dispBlanksAs val="gap"/>
    <c:showDLblsOverMax val="0"/>
  </c:chart>
  <c:spPr>
    <a:noFill/>
    <a:ln>
      <a:noFill/>
    </a:ln>
    <a:effectLst/>
  </c:spPr>
  <c:txPr>
    <a:bodyPr/>
    <a:lstStyle/>
    <a:p>
      <a:pPr>
        <a:defRPr sz="800" b="1">
          <a:solidFill>
            <a:sysClr val="windowText" lastClr="000000"/>
          </a:solidFill>
          <a:latin typeface="+mj-lt"/>
        </a:defRPr>
      </a:pPr>
      <a:endParaRPr lang="it-IT"/>
    </a:p>
  </c:txPr>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Foglio4!$C$56</c:f>
              <c:strCache>
                <c:ptCount val="1"/>
                <c:pt idx="0">
                  <c:v>&lt;1500g</c:v>
                </c:pt>
              </c:strCache>
            </c:strRef>
          </c:tx>
          <c:spPr>
            <a:solidFill>
              <a:schemeClr val="accent1">
                <a:lumMod val="40000"/>
                <a:lumOff val="60000"/>
              </a:schemeClr>
            </a:solidFill>
            <a:ln>
              <a:noFill/>
            </a:ln>
            <a:effectLst/>
            <a:sp3d/>
          </c:spPr>
          <c:invertIfNegative val="0"/>
          <c:dPt>
            <c:idx val="1"/>
            <c:invertIfNegative val="0"/>
            <c:bubble3D val="0"/>
            <c:spPr>
              <a:solidFill>
                <a:srgbClr val="FFCCFF"/>
              </a:solidFill>
              <a:ln>
                <a:noFill/>
              </a:ln>
              <a:effectLst/>
              <a:sp3d/>
            </c:spPr>
          </c:dPt>
          <c:dPt>
            <c:idx val="3"/>
            <c:invertIfNegative val="0"/>
            <c:bubble3D val="0"/>
            <c:spPr>
              <a:solidFill>
                <a:srgbClr val="FFCCFF"/>
              </a:solidFill>
              <a:ln>
                <a:noFill/>
              </a:ln>
              <a:effectLst/>
              <a:sp3d/>
            </c:spPr>
          </c:dPt>
          <c:dLbls>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Foglio4!$A$57:$B$60</c:f>
              <c:multiLvlStrCache>
                <c:ptCount val="4"/>
                <c:lvl>
                  <c:pt idx="0">
                    <c:v>Italiana</c:v>
                  </c:pt>
                  <c:pt idx="1">
                    <c:v>Straniera</c:v>
                  </c:pt>
                  <c:pt idx="2">
                    <c:v>Italiana</c:v>
                  </c:pt>
                  <c:pt idx="3">
                    <c:v>Straniera</c:v>
                  </c:pt>
                </c:lvl>
                <c:lvl>
                  <c:pt idx="0">
                    <c:v>Mantova</c:v>
                  </c:pt>
                  <c:pt idx="2">
                    <c:v>Cremona</c:v>
                  </c:pt>
                </c:lvl>
              </c:multiLvlStrCache>
            </c:multiLvlStrRef>
          </c:cat>
          <c:val>
            <c:numRef>
              <c:f>Foglio4!$C$57:$C$60</c:f>
              <c:numCache>
                <c:formatCode>General</c:formatCode>
                <c:ptCount val="4"/>
                <c:pt idx="0">
                  <c:v>0.8</c:v>
                </c:pt>
                <c:pt idx="1">
                  <c:v>1.9</c:v>
                </c:pt>
                <c:pt idx="2">
                  <c:v>1</c:v>
                </c:pt>
                <c:pt idx="3">
                  <c:v>1.9</c:v>
                </c:pt>
              </c:numCache>
            </c:numRef>
          </c:val>
        </c:ser>
        <c:ser>
          <c:idx val="1"/>
          <c:order val="1"/>
          <c:tx>
            <c:strRef>
              <c:f>Foglio4!$D$56</c:f>
              <c:strCache>
                <c:ptCount val="1"/>
                <c:pt idx="0">
                  <c:v>1500g-2499g</c:v>
                </c:pt>
              </c:strCache>
            </c:strRef>
          </c:tx>
          <c:spPr>
            <a:solidFill>
              <a:srgbClr val="6699FF"/>
            </a:solidFill>
            <a:ln>
              <a:noFill/>
            </a:ln>
            <a:effectLst/>
            <a:sp3d/>
          </c:spPr>
          <c:invertIfNegative val="0"/>
          <c:dPt>
            <c:idx val="1"/>
            <c:invertIfNegative val="0"/>
            <c:bubble3D val="0"/>
            <c:spPr>
              <a:solidFill>
                <a:srgbClr val="FF0000"/>
              </a:solidFill>
              <a:ln>
                <a:noFill/>
              </a:ln>
              <a:effectLst/>
              <a:sp3d/>
            </c:spPr>
          </c:dPt>
          <c:dPt>
            <c:idx val="3"/>
            <c:invertIfNegative val="0"/>
            <c:bubble3D val="0"/>
            <c:spPr>
              <a:solidFill>
                <a:srgbClr val="FF0000"/>
              </a:solidFill>
              <a:ln>
                <a:noFill/>
              </a:ln>
              <a:effectLst/>
              <a:sp3d/>
            </c:spPr>
          </c:dPt>
          <c:dLbls>
            <c:spPr>
              <a:noFill/>
              <a:ln>
                <a:noFill/>
              </a:ln>
              <a:effectLst/>
            </c:spPr>
            <c:txPr>
              <a:bodyPr rot="0" vert="horz"/>
              <a:lstStyle/>
              <a:p>
                <a:pPr>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Foglio4!$A$57:$B$60</c:f>
              <c:multiLvlStrCache>
                <c:ptCount val="4"/>
                <c:lvl>
                  <c:pt idx="0">
                    <c:v>Italiana</c:v>
                  </c:pt>
                  <c:pt idx="1">
                    <c:v>Straniera</c:v>
                  </c:pt>
                  <c:pt idx="2">
                    <c:v>Italiana</c:v>
                  </c:pt>
                  <c:pt idx="3">
                    <c:v>Straniera</c:v>
                  </c:pt>
                </c:lvl>
                <c:lvl>
                  <c:pt idx="0">
                    <c:v>Mantova</c:v>
                  </c:pt>
                  <c:pt idx="2">
                    <c:v>Cremona</c:v>
                  </c:pt>
                </c:lvl>
              </c:multiLvlStrCache>
            </c:multiLvlStrRef>
          </c:cat>
          <c:val>
            <c:numRef>
              <c:f>Foglio4!$D$57:$D$60</c:f>
              <c:numCache>
                <c:formatCode>General</c:formatCode>
                <c:ptCount val="4"/>
                <c:pt idx="0">
                  <c:v>6.01</c:v>
                </c:pt>
                <c:pt idx="1">
                  <c:v>5.09</c:v>
                </c:pt>
                <c:pt idx="2">
                  <c:v>6.2</c:v>
                </c:pt>
                <c:pt idx="3">
                  <c:v>6.3</c:v>
                </c:pt>
              </c:numCache>
            </c:numRef>
          </c:val>
        </c:ser>
        <c:dLbls>
          <c:showLegendKey val="0"/>
          <c:showVal val="0"/>
          <c:showCatName val="0"/>
          <c:showSerName val="0"/>
          <c:showPercent val="0"/>
          <c:showBubbleSize val="0"/>
        </c:dLbls>
        <c:gapWidth val="150"/>
        <c:shape val="box"/>
        <c:axId val="121458048"/>
        <c:axId val="121463936"/>
        <c:axId val="0"/>
      </c:bar3DChart>
      <c:catAx>
        <c:axId val="121458048"/>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it-IT"/>
          </a:p>
        </c:txPr>
        <c:crossAx val="121463936"/>
        <c:crosses val="autoZero"/>
        <c:auto val="1"/>
        <c:lblAlgn val="ctr"/>
        <c:lblOffset val="100"/>
        <c:noMultiLvlLbl val="0"/>
      </c:catAx>
      <c:valAx>
        <c:axId val="121463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it-IT"/>
          </a:p>
        </c:txPr>
        <c:crossAx val="121458048"/>
        <c:crosses val="autoZero"/>
        <c:crossBetween val="between"/>
        <c:majorUnit val="2"/>
      </c:valAx>
      <c:spPr>
        <a:noFill/>
        <a:ln>
          <a:noFill/>
        </a:ln>
        <a:effectLst/>
      </c:spPr>
    </c:plotArea>
    <c:legend>
      <c:legendPos val="b"/>
      <c:overlay val="0"/>
      <c:spPr>
        <a:noFill/>
        <a:ln>
          <a:noFill/>
        </a:ln>
        <a:effectLst/>
      </c:spPr>
      <c:txPr>
        <a:bodyPr rot="0" vert="horz"/>
        <a:lstStyle/>
        <a:p>
          <a:pPr>
            <a:defRPr/>
          </a:pPr>
          <a:endParaRPr lang="it-IT"/>
        </a:p>
      </c:txPr>
    </c:legend>
    <c:plotVisOnly val="1"/>
    <c:dispBlanksAs val="gap"/>
    <c:showDLblsOverMax val="0"/>
  </c:chart>
  <c:spPr>
    <a:noFill/>
    <a:ln>
      <a:noFill/>
    </a:ln>
    <a:effectLst/>
  </c:spPr>
  <c:txPr>
    <a:bodyPr/>
    <a:lstStyle/>
    <a:p>
      <a:pPr>
        <a:defRPr sz="800" b="1">
          <a:solidFill>
            <a:sysClr val="windowText" lastClr="000000"/>
          </a:solidFill>
          <a:latin typeface="+mj-lt"/>
        </a:defRPr>
      </a:pPr>
      <a:endParaRPr lang="it-IT"/>
    </a:p>
  </c:txPr>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70"/>
      <c:rAngAx val="0"/>
      <c:perspective val="70"/>
    </c:view3D>
    <c:floor>
      <c:thickness val="0"/>
    </c:floor>
    <c:sideWall>
      <c:thickness val="0"/>
      <c:spPr>
        <a:noFill/>
        <a:ln>
          <a:noFill/>
        </a:ln>
        <a:effectLst/>
      </c:spPr>
    </c:sideWall>
    <c:backWall>
      <c:thickness val="0"/>
      <c:spPr>
        <a:noFill/>
        <a:ln>
          <a:noFill/>
        </a:ln>
        <a:effectLst/>
      </c:spPr>
    </c:backWall>
    <c:plotArea>
      <c:layout/>
      <c:bar3DChart>
        <c:barDir val="col"/>
        <c:grouping val="percentStacked"/>
        <c:varyColors val="0"/>
        <c:ser>
          <c:idx val="0"/>
          <c:order val="0"/>
          <c:tx>
            <c:strRef>
              <c:f>Foglio5!$C$1</c:f>
              <c:strCache>
                <c:ptCount val="1"/>
                <c:pt idx="0">
                  <c:v>seno</c:v>
                </c:pt>
              </c:strCache>
            </c:strRef>
          </c:tx>
          <c:spPr>
            <a:solidFill>
              <a:srgbClr val="FFCCFF"/>
            </a:solidFill>
            <a:ln>
              <a:noFill/>
            </a:ln>
            <a:effectLst/>
          </c:spPr>
          <c:invertIfNegative val="0"/>
          <c:cat>
            <c:multiLvlStrRef>
              <c:f>Foglio5!$A$2:$B$9</c:f>
              <c:multiLvlStrCache>
                <c:ptCount val="8"/>
                <c:lvl>
                  <c:pt idx="0">
                    <c:v>1°</c:v>
                  </c:pt>
                  <c:pt idx="1">
                    <c:v>2°</c:v>
                  </c:pt>
                  <c:pt idx="2">
                    <c:v>3°</c:v>
                  </c:pt>
                  <c:pt idx="3">
                    <c:v>4°</c:v>
                  </c:pt>
                  <c:pt idx="4">
                    <c:v>1°</c:v>
                  </c:pt>
                  <c:pt idx="5">
                    <c:v>2°</c:v>
                  </c:pt>
                  <c:pt idx="6">
                    <c:v>3°</c:v>
                  </c:pt>
                  <c:pt idx="7">
                    <c:v>4°</c:v>
                  </c:pt>
                </c:lvl>
                <c:lvl>
                  <c:pt idx="0">
                    <c:v>neonato Italiano</c:v>
                  </c:pt>
                  <c:pt idx="4">
                    <c:v>neonato Straniero</c:v>
                  </c:pt>
                </c:lvl>
              </c:multiLvlStrCache>
            </c:multiLvlStrRef>
          </c:cat>
          <c:val>
            <c:numRef>
              <c:f>Foglio5!$C$2:$C$9</c:f>
              <c:numCache>
                <c:formatCode>General</c:formatCode>
                <c:ptCount val="8"/>
                <c:pt idx="0">
                  <c:v>1021</c:v>
                </c:pt>
                <c:pt idx="1">
                  <c:v>875</c:v>
                </c:pt>
                <c:pt idx="2">
                  <c:v>729</c:v>
                </c:pt>
                <c:pt idx="3">
                  <c:v>522</c:v>
                </c:pt>
                <c:pt idx="4">
                  <c:v>362</c:v>
                </c:pt>
                <c:pt idx="5">
                  <c:v>290</c:v>
                </c:pt>
                <c:pt idx="6">
                  <c:v>251</c:v>
                </c:pt>
                <c:pt idx="7">
                  <c:v>172</c:v>
                </c:pt>
              </c:numCache>
            </c:numRef>
          </c:val>
        </c:ser>
        <c:ser>
          <c:idx val="1"/>
          <c:order val="1"/>
          <c:tx>
            <c:strRef>
              <c:f>Foglio5!$D$1</c:f>
              <c:strCache>
                <c:ptCount val="1"/>
                <c:pt idx="0">
                  <c:v>misto</c:v>
                </c:pt>
              </c:strCache>
            </c:strRef>
          </c:tx>
          <c:spPr>
            <a:solidFill>
              <a:schemeClr val="accent2"/>
            </a:solidFill>
            <a:ln>
              <a:noFill/>
            </a:ln>
            <a:effectLst/>
          </c:spPr>
          <c:invertIfNegative val="0"/>
          <c:cat>
            <c:multiLvlStrRef>
              <c:f>Foglio5!$A$2:$B$9</c:f>
              <c:multiLvlStrCache>
                <c:ptCount val="8"/>
                <c:lvl>
                  <c:pt idx="0">
                    <c:v>1°</c:v>
                  </c:pt>
                  <c:pt idx="1">
                    <c:v>2°</c:v>
                  </c:pt>
                  <c:pt idx="2">
                    <c:v>3°</c:v>
                  </c:pt>
                  <c:pt idx="3">
                    <c:v>4°</c:v>
                  </c:pt>
                  <c:pt idx="4">
                    <c:v>1°</c:v>
                  </c:pt>
                  <c:pt idx="5">
                    <c:v>2°</c:v>
                  </c:pt>
                  <c:pt idx="6">
                    <c:v>3°</c:v>
                  </c:pt>
                  <c:pt idx="7">
                    <c:v>4°</c:v>
                  </c:pt>
                </c:lvl>
                <c:lvl>
                  <c:pt idx="0">
                    <c:v>neonato Italiano</c:v>
                  </c:pt>
                  <c:pt idx="4">
                    <c:v>neonato Straniero</c:v>
                  </c:pt>
                </c:lvl>
              </c:multiLvlStrCache>
            </c:multiLvlStrRef>
          </c:cat>
          <c:val>
            <c:numRef>
              <c:f>Foglio5!$D$2:$D$9</c:f>
              <c:numCache>
                <c:formatCode>General</c:formatCode>
                <c:ptCount val="8"/>
                <c:pt idx="0">
                  <c:v>387</c:v>
                </c:pt>
                <c:pt idx="1">
                  <c:v>242</c:v>
                </c:pt>
                <c:pt idx="2">
                  <c:v>183</c:v>
                </c:pt>
                <c:pt idx="3">
                  <c:v>91</c:v>
                </c:pt>
                <c:pt idx="4">
                  <c:v>117</c:v>
                </c:pt>
                <c:pt idx="5">
                  <c:v>106</c:v>
                </c:pt>
                <c:pt idx="6">
                  <c:v>100</c:v>
                </c:pt>
                <c:pt idx="7">
                  <c:v>62</c:v>
                </c:pt>
              </c:numCache>
            </c:numRef>
          </c:val>
        </c:ser>
        <c:ser>
          <c:idx val="2"/>
          <c:order val="2"/>
          <c:tx>
            <c:strRef>
              <c:f>Foglio5!$E$1</c:f>
              <c:strCache>
                <c:ptCount val="1"/>
                <c:pt idx="0">
                  <c:v>artificiale</c:v>
                </c:pt>
              </c:strCache>
            </c:strRef>
          </c:tx>
          <c:spPr>
            <a:solidFill>
              <a:schemeClr val="accent3"/>
            </a:solidFill>
            <a:ln>
              <a:noFill/>
            </a:ln>
            <a:effectLst/>
          </c:spPr>
          <c:invertIfNegative val="0"/>
          <c:cat>
            <c:multiLvlStrRef>
              <c:f>Foglio5!$A$2:$B$9</c:f>
              <c:multiLvlStrCache>
                <c:ptCount val="8"/>
                <c:lvl>
                  <c:pt idx="0">
                    <c:v>1°</c:v>
                  </c:pt>
                  <c:pt idx="1">
                    <c:v>2°</c:v>
                  </c:pt>
                  <c:pt idx="2">
                    <c:v>3°</c:v>
                  </c:pt>
                  <c:pt idx="3">
                    <c:v>4°</c:v>
                  </c:pt>
                  <c:pt idx="4">
                    <c:v>1°</c:v>
                  </c:pt>
                  <c:pt idx="5">
                    <c:v>2°</c:v>
                  </c:pt>
                  <c:pt idx="6">
                    <c:v>3°</c:v>
                  </c:pt>
                  <c:pt idx="7">
                    <c:v>4°</c:v>
                  </c:pt>
                </c:lvl>
                <c:lvl>
                  <c:pt idx="0">
                    <c:v>neonato Italiano</c:v>
                  </c:pt>
                  <c:pt idx="4">
                    <c:v>neonato Straniero</c:v>
                  </c:pt>
                </c:lvl>
              </c:multiLvlStrCache>
            </c:multiLvlStrRef>
          </c:cat>
          <c:val>
            <c:numRef>
              <c:f>Foglio5!$E$2:$E$9</c:f>
              <c:numCache>
                <c:formatCode>General</c:formatCode>
                <c:ptCount val="8"/>
                <c:pt idx="0">
                  <c:v>315</c:v>
                </c:pt>
                <c:pt idx="1">
                  <c:v>649</c:v>
                </c:pt>
                <c:pt idx="2">
                  <c:v>873</c:v>
                </c:pt>
                <c:pt idx="3">
                  <c:v>1100</c:v>
                </c:pt>
                <c:pt idx="4">
                  <c:v>61</c:v>
                </c:pt>
                <c:pt idx="5">
                  <c:v>135</c:v>
                </c:pt>
                <c:pt idx="6">
                  <c:v>186</c:v>
                </c:pt>
                <c:pt idx="7">
                  <c:v>222</c:v>
                </c:pt>
              </c:numCache>
            </c:numRef>
          </c:val>
        </c:ser>
        <c:dLbls>
          <c:showLegendKey val="0"/>
          <c:showVal val="0"/>
          <c:showCatName val="0"/>
          <c:showSerName val="0"/>
          <c:showPercent val="0"/>
          <c:showBubbleSize val="0"/>
        </c:dLbls>
        <c:gapWidth val="150"/>
        <c:shape val="box"/>
        <c:axId val="121499008"/>
        <c:axId val="121177216"/>
        <c:axId val="0"/>
      </c:bar3DChart>
      <c:catAx>
        <c:axId val="121499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it-IT"/>
          </a:p>
        </c:txPr>
        <c:crossAx val="121177216"/>
        <c:crosses val="autoZero"/>
        <c:auto val="1"/>
        <c:lblAlgn val="ctr"/>
        <c:lblOffset val="100"/>
        <c:noMultiLvlLbl val="0"/>
      </c:catAx>
      <c:valAx>
        <c:axId val="1211772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vert="horz"/>
          <a:lstStyle/>
          <a:p>
            <a:pPr>
              <a:defRPr sz="700"/>
            </a:pPr>
            <a:endParaRPr lang="it-IT"/>
          </a:p>
        </c:txPr>
        <c:crossAx val="121499008"/>
        <c:crosses val="autoZero"/>
        <c:crossBetween val="between"/>
      </c:valAx>
    </c:plotArea>
    <c:legend>
      <c:legendPos val="b"/>
      <c:overlay val="0"/>
      <c:spPr>
        <a:noFill/>
        <a:ln>
          <a:noFill/>
        </a:ln>
        <a:effectLst/>
      </c:spPr>
      <c:txPr>
        <a:bodyPr rot="0" vert="horz"/>
        <a:lstStyle/>
        <a:p>
          <a:pPr>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b="1">
          <a:latin typeface="+mj-lt"/>
        </a:defRPr>
      </a:pPr>
      <a:endParaRPr lang="it-IT"/>
    </a:p>
  </c:txPr>
  <c:externalData r:id="rId2">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it-IT" sz="1200"/>
              <a:t>Popolazione ATS</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layout>
                <c:manualLayout>
                  <c:x val="4.2535433070866199E-2"/>
                  <c:y val="-5.0404272382618895E-2"/>
                </c:manualLayout>
              </c:layout>
              <c:tx>
                <c:rich>
                  <a:bodyPr/>
                  <a:lstStyle/>
                  <a:p>
                    <a:r>
                      <a:rPr lang="en-US"/>
                      <a:t>CREMA 164.135</a:t>
                    </a:r>
                  </a:p>
                  <a:p>
                    <a:r>
                      <a:rPr lang="en-US"/>
                      <a:t> 21%</a:t>
                    </a:r>
                  </a:p>
                </c:rich>
              </c:tx>
              <c:showLegendKey val="0"/>
              <c:showVal val="1"/>
              <c:showCatName val="1"/>
              <c:showSerName val="0"/>
              <c:showPercent val="1"/>
              <c:showBubbleSize val="0"/>
            </c:dLbl>
            <c:dLbl>
              <c:idx val="1"/>
              <c:layout>
                <c:manualLayout>
                  <c:x val="8.3893263342082591E-3"/>
                  <c:y val="0.10469706911636045"/>
                </c:manualLayout>
              </c:layout>
              <c:tx>
                <c:rich>
                  <a:bodyPr/>
                  <a:lstStyle/>
                  <a:p>
                    <a:r>
                      <a:rPr lang="en-US"/>
                      <a:t>CREMONA 199.996 </a:t>
                    </a:r>
                  </a:p>
                  <a:p>
                    <a:r>
                      <a:rPr lang="en-US"/>
                      <a:t>26%</a:t>
                    </a:r>
                  </a:p>
                </c:rich>
              </c:tx>
              <c:showLegendKey val="0"/>
              <c:showVal val="1"/>
              <c:showCatName val="1"/>
              <c:showSerName val="0"/>
              <c:showPercent val="1"/>
              <c:showBubbleSize val="0"/>
            </c:dLbl>
            <c:dLbl>
              <c:idx val="2"/>
              <c:layout>
                <c:manualLayout>
                  <c:x val="1.316185476815401E-2"/>
                  <c:y val="-0.37420457859434297"/>
                </c:manualLayout>
              </c:layout>
              <c:tx>
                <c:rich>
                  <a:bodyPr/>
                  <a:lstStyle/>
                  <a:p>
                    <a:r>
                      <a:rPr lang="en-US"/>
                      <a:t>MANTOVA 414.016</a:t>
                    </a:r>
                  </a:p>
                  <a:p>
                    <a:r>
                      <a:rPr lang="en-US"/>
                      <a:t> 53%</a:t>
                    </a:r>
                  </a:p>
                </c:rich>
              </c:tx>
              <c:showLegendKey val="0"/>
              <c:showVal val="1"/>
              <c:showCatName val="1"/>
              <c:showSerName val="0"/>
              <c:showPercent val="1"/>
              <c:showBubbleSize val="0"/>
            </c:dLbl>
            <c:txPr>
              <a:bodyPr/>
              <a:lstStyle/>
              <a:p>
                <a:pPr>
                  <a:defRPr b="1"/>
                </a:pPr>
                <a:endParaRPr lang="it-IT"/>
              </a:p>
            </c:txPr>
            <c:showLegendKey val="0"/>
            <c:showVal val="1"/>
            <c:showCatName val="1"/>
            <c:showSerName val="0"/>
            <c:showPercent val="1"/>
            <c:showBubbleSize val="0"/>
            <c:showLeaderLines val="1"/>
          </c:dLbls>
          <c:cat>
            <c:strRef>
              <c:f>Foglio3!$A$29:$A$31</c:f>
              <c:strCache>
                <c:ptCount val="3"/>
                <c:pt idx="0">
                  <c:v>CREMA</c:v>
                </c:pt>
                <c:pt idx="1">
                  <c:v>CREMONA</c:v>
                </c:pt>
                <c:pt idx="2">
                  <c:v>MANTOVA</c:v>
                </c:pt>
              </c:strCache>
            </c:strRef>
          </c:cat>
          <c:val>
            <c:numRef>
              <c:f>Foglio3!$B$29:$B$31</c:f>
              <c:numCache>
                <c:formatCode>#,##0</c:formatCode>
                <c:ptCount val="3"/>
                <c:pt idx="0">
                  <c:v>164135</c:v>
                </c:pt>
                <c:pt idx="1">
                  <c:v>199996</c:v>
                </c:pt>
                <c:pt idx="2">
                  <c:v>414016</c:v>
                </c:pt>
              </c:numCache>
            </c:numRef>
          </c:val>
        </c:ser>
        <c:ser>
          <c:idx val="1"/>
          <c:order val="1"/>
          <c:explosion val="25"/>
          <c:dLbls>
            <c:showLegendKey val="0"/>
            <c:showVal val="0"/>
            <c:showCatName val="1"/>
            <c:showSerName val="0"/>
            <c:showPercent val="1"/>
            <c:showBubbleSize val="0"/>
            <c:showLeaderLines val="1"/>
          </c:dLbls>
          <c:cat>
            <c:strRef>
              <c:f>Foglio3!$A$29:$A$31</c:f>
              <c:strCache>
                <c:ptCount val="3"/>
                <c:pt idx="0">
                  <c:v>CREMA</c:v>
                </c:pt>
                <c:pt idx="1">
                  <c:v>CREMONA</c:v>
                </c:pt>
                <c:pt idx="2">
                  <c:v>MANTOVA</c:v>
                </c:pt>
              </c:strCache>
            </c:strRef>
          </c:cat>
          <c:val>
            <c:numRef>
              <c:f>Foglio3!$C$29:$C$31</c:f>
              <c:numCache>
                <c:formatCode>0.0</c:formatCode>
                <c:ptCount val="3"/>
                <c:pt idx="0">
                  <c:v>21.093058252489591</c:v>
                </c:pt>
                <c:pt idx="1">
                  <c:v>25.701570525877504</c:v>
                </c:pt>
                <c:pt idx="2">
                  <c:v>53.205371221632937</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Mantova</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PIRAMIDI!$B$2</c:f>
              <c:strCache>
                <c:ptCount val="1"/>
                <c:pt idx="0">
                  <c:v>F</c:v>
                </c:pt>
              </c:strCache>
            </c:strRef>
          </c:tx>
          <c:spPr>
            <a:solidFill>
              <a:srgbClr val="FF66FF"/>
            </a:solidFill>
          </c:spPr>
          <c:invertIfNegative val="0"/>
          <c:cat>
            <c:strRef>
              <c:f>PIRAMIDI!$A$3:$A$22</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PIRAMIDI!$B$3:$B$22</c:f>
              <c:numCache>
                <c:formatCode>0;[Red]0</c:formatCode>
                <c:ptCount val="20"/>
                <c:pt idx="0">
                  <c:v>-8559</c:v>
                </c:pt>
                <c:pt idx="1">
                  <c:v>-9706</c:v>
                </c:pt>
                <c:pt idx="2">
                  <c:v>-9019</c:v>
                </c:pt>
                <c:pt idx="3">
                  <c:v>-8756</c:v>
                </c:pt>
                <c:pt idx="4">
                  <c:v>-8704</c:v>
                </c:pt>
                <c:pt idx="5">
                  <c:v>-9890</c:v>
                </c:pt>
                <c:pt idx="6">
                  <c:v>-11439</c:v>
                </c:pt>
                <c:pt idx="7">
                  <c:v>-14333</c:v>
                </c:pt>
                <c:pt idx="8">
                  <c:v>-16761</c:v>
                </c:pt>
                <c:pt idx="9">
                  <c:v>-16483</c:v>
                </c:pt>
                <c:pt idx="10">
                  <c:v>-15935</c:v>
                </c:pt>
                <c:pt idx="11">
                  <c:v>-13913</c:v>
                </c:pt>
                <c:pt idx="12">
                  <c:v>-12853</c:v>
                </c:pt>
                <c:pt idx="13">
                  <c:v>-13452</c:v>
                </c:pt>
                <c:pt idx="14">
                  <c:v>-10459</c:v>
                </c:pt>
                <c:pt idx="15">
                  <c:v>-11025</c:v>
                </c:pt>
                <c:pt idx="16">
                  <c:v>-9061</c:v>
                </c:pt>
                <c:pt idx="17">
                  <c:v>-6665</c:v>
                </c:pt>
                <c:pt idx="18">
                  <c:v>-3538</c:v>
                </c:pt>
                <c:pt idx="19">
                  <c:v>-864</c:v>
                </c:pt>
              </c:numCache>
            </c:numRef>
          </c:val>
        </c:ser>
        <c:ser>
          <c:idx val="1"/>
          <c:order val="1"/>
          <c:tx>
            <c:strRef>
              <c:f>PIRAMIDI!$C$2</c:f>
              <c:strCache>
                <c:ptCount val="1"/>
                <c:pt idx="0">
                  <c:v>M</c:v>
                </c:pt>
              </c:strCache>
            </c:strRef>
          </c:tx>
          <c:spPr>
            <a:solidFill>
              <a:srgbClr val="00B0F0"/>
            </a:solidFill>
          </c:spPr>
          <c:invertIfNegative val="0"/>
          <c:cat>
            <c:strRef>
              <c:f>PIRAMIDI!$A$3:$A$22</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PIRAMIDI!$C$3:$C$22</c:f>
              <c:numCache>
                <c:formatCode>General</c:formatCode>
                <c:ptCount val="20"/>
                <c:pt idx="0">
                  <c:v>9309</c:v>
                </c:pt>
                <c:pt idx="1">
                  <c:v>10414</c:v>
                </c:pt>
                <c:pt idx="2">
                  <c:v>9702</c:v>
                </c:pt>
                <c:pt idx="3">
                  <c:v>9863</c:v>
                </c:pt>
                <c:pt idx="4">
                  <c:v>9439</c:v>
                </c:pt>
                <c:pt idx="5">
                  <c:v>10086</c:v>
                </c:pt>
                <c:pt idx="6">
                  <c:v>11599</c:v>
                </c:pt>
                <c:pt idx="7">
                  <c:v>14822</c:v>
                </c:pt>
                <c:pt idx="8">
                  <c:v>17395</c:v>
                </c:pt>
                <c:pt idx="9">
                  <c:v>17450</c:v>
                </c:pt>
                <c:pt idx="10">
                  <c:v>16401</c:v>
                </c:pt>
                <c:pt idx="11">
                  <c:v>13560</c:v>
                </c:pt>
                <c:pt idx="12">
                  <c:v>11901</c:v>
                </c:pt>
                <c:pt idx="13">
                  <c:v>12549</c:v>
                </c:pt>
                <c:pt idx="14">
                  <c:v>8788</c:v>
                </c:pt>
                <c:pt idx="15">
                  <c:v>8713</c:v>
                </c:pt>
                <c:pt idx="16">
                  <c:v>6018</c:v>
                </c:pt>
                <c:pt idx="17">
                  <c:v>3059</c:v>
                </c:pt>
                <c:pt idx="18">
                  <c:v>1137</c:v>
                </c:pt>
                <c:pt idx="19">
                  <c:v>208</c:v>
                </c:pt>
              </c:numCache>
            </c:numRef>
          </c:val>
        </c:ser>
        <c:dLbls>
          <c:showLegendKey val="0"/>
          <c:showVal val="0"/>
          <c:showCatName val="0"/>
          <c:showSerName val="0"/>
          <c:showPercent val="0"/>
          <c:showBubbleSize val="0"/>
        </c:dLbls>
        <c:gapWidth val="0"/>
        <c:gapDepth val="0"/>
        <c:shape val="box"/>
        <c:axId val="122951552"/>
        <c:axId val="122953088"/>
        <c:axId val="0"/>
      </c:bar3DChart>
      <c:catAx>
        <c:axId val="122951552"/>
        <c:scaling>
          <c:orientation val="minMax"/>
        </c:scaling>
        <c:delete val="1"/>
        <c:axPos val="l"/>
        <c:majorTickMark val="none"/>
        <c:minorTickMark val="none"/>
        <c:tickLblPos val="none"/>
        <c:crossAx val="122953088"/>
        <c:crosses val="autoZero"/>
        <c:auto val="1"/>
        <c:lblAlgn val="ctr"/>
        <c:lblOffset val="100"/>
        <c:noMultiLvlLbl val="0"/>
      </c:catAx>
      <c:valAx>
        <c:axId val="122953088"/>
        <c:scaling>
          <c:orientation val="minMax"/>
        </c:scaling>
        <c:delete val="0"/>
        <c:axPos val="b"/>
        <c:majorGridlines/>
        <c:numFmt formatCode="0;[Red]0" sourceLinked="1"/>
        <c:majorTickMark val="none"/>
        <c:minorTickMark val="none"/>
        <c:tickLblPos val="nextTo"/>
        <c:txPr>
          <a:bodyPr/>
          <a:lstStyle/>
          <a:p>
            <a:pPr>
              <a:defRPr sz="800"/>
            </a:pPr>
            <a:endParaRPr lang="it-IT"/>
          </a:p>
        </c:txPr>
        <c:crossAx val="122951552"/>
        <c:crosses val="autoZero"/>
        <c:crossBetween val="between"/>
        <c:majorUnit val="10000"/>
      </c:valAx>
    </c:plotArea>
    <c:plotVisOnly val="1"/>
    <c:dispBlanksAs val="gap"/>
    <c:showDLblsOverMax val="0"/>
  </c:chart>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Cremona</a:t>
            </a:r>
          </a:p>
        </c:rich>
      </c:tx>
      <c:layout>
        <c:manualLayout>
          <c:xMode val="edge"/>
          <c:yMode val="edge"/>
          <c:x val="0.42411811023622081"/>
          <c:y val="1.9207685494063556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PIRAMIDI!$B$54</c:f>
              <c:strCache>
                <c:ptCount val="1"/>
                <c:pt idx="0">
                  <c:v>F</c:v>
                </c:pt>
              </c:strCache>
            </c:strRef>
          </c:tx>
          <c:spPr>
            <a:solidFill>
              <a:srgbClr val="FF66FF"/>
            </a:solidFill>
          </c:spPr>
          <c:invertIfNegative val="0"/>
          <c:cat>
            <c:strRef>
              <c:f>PIRAMIDI!$A$55:$A$74</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PIRAMIDI!$B$55:$B$74</c:f>
              <c:numCache>
                <c:formatCode>0;[Red]0</c:formatCode>
                <c:ptCount val="20"/>
                <c:pt idx="0">
                  <c:v>-3844</c:v>
                </c:pt>
                <c:pt idx="1">
                  <c:v>-4288</c:v>
                </c:pt>
                <c:pt idx="2">
                  <c:v>-4065</c:v>
                </c:pt>
                <c:pt idx="3">
                  <c:v>-4127</c:v>
                </c:pt>
                <c:pt idx="4">
                  <c:v>-4304</c:v>
                </c:pt>
                <c:pt idx="5">
                  <c:v>-4942</c:v>
                </c:pt>
                <c:pt idx="6">
                  <c:v>-5390</c:v>
                </c:pt>
                <c:pt idx="7">
                  <c:v>-6324</c:v>
                </c:pt>
                <c:pt idx="8">
                  <c:v>-7382</c:v>
                </c:pt>
                <c:pt idx="9">
                  <c:v>-7796</c:v>
                </c:pt>
                <c:pt idx="10">
                  <c:v>-7861</c:v>
                </c:pt>
                <c:pt idx="11">
                  <c:v>-6879</c:v>
                </c:pt>
                <c:pt idx="12">
                  <c:v>-6141</c:v>
                </c:pt>
                <c:pt idx="13">
                  <c:v>-6686</c:v>
                </c:pt>
                <c:pt idx="14">
                  <c:v>-5424</c:v>
                </c:pt>
                <c:pt idx="15">
                  <c:v>-5924</c:v>
                </c:pt>
                <c:pt idx="16">
                  <c:v>-4981</c:v>
                </c:pt>
                <c:pt idx="17">
                  <c:v>-3785</c:v>
                </c:pt>
                <c:pt idx="18">
                  <c:v>-1956</c:v>
                </c:pt>
                <c:pt idx="19">
                  <c:v>-464</c:v>
                </c:pt>
              </c:numCache>
            </c:numRef>
          </c:val>
        </c:ser>
        <c:ser>
          <c:idx val="1"/>
          <c:order val="1"/>
          <c:tx>
            <c:strRef>
              <c:f>PIRAMIDI!$C$54</c:f>
              <c:strCache>
                <c:ptCount val="1"/>
                <c:pt idx="0">
                  <c:v>M</c:v>
                </c:pt>
              </c:strCache>
            </c:strRef>
          </c:tx>
          <c:spPr>
            <a:solidFill>
              <a:srgbClr val="00B0F0"/>
            </a:solidFill>
          </c:spPr>
          <c:invertIfNegative val="0"/>
          <c:cat>
            <c:strRef>
              <c:f>PIRAMIDI!$A$55:$A$74</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PIRAMIDI!$C$55:$C$74</c:f>
              <c:numCache>
                <c:formatCode>General</c:formatCode>
                <c:ptCount val="20"/>
                <c:pt idx="0">
                  <c:v>4196</c:v>
                </c:pt>
                <c:pt idx="1">
                  <c:v>4616</c:v>
                </c:pt>
                <c:pt idx="2">
                  <c:v>4443</c:v>
                </c:pt>
                <c:pt idx="3">
                  <c:v>4537</c:v>
                </c:pt>
                <c:pt idx="4">
                  <c:v>4602</c:v>
                </c:pt>
                <c:pt idx="5">
                  <c:v>5075</c:v>
                </c:pt>
                <c:pt idx="6">
                  <c:v>5593</c:v>
                </c:pt>
                <c:pt idx="7">
                  <c:v>6640</c:v>
                </c:pt>
                <c:pt idx="8">
                  <c:v>7729</c:v>
                </c:pt>
                <c:pt idx="9">
                  <c:v>8464</c:v>
                </c:pt>
                <c:pt idx="10">
                  <c:v>7904</c:v>
                </c:pt>
                <c:pt idx="11">
                  <c:v>6885</c:v>
                </c:pt>
                <c:pt idx="12">
                  <c:v>5973</c:v>
                </c:pt>
                <c:pt idx="13">
                  <c:v>6378</c:v>
                </c:pt>
                <c:pt idx="14">
                  <c:v>4426</c:v>
                </c:pt>
                <c:pt idx="15">
                  <c:v>4521</c:v>
                </c:pt>
                <c:pt idx="16">
                  <c:v>3029</c:v>
                </c:pt>
                <c:pt idx="17">
                  <c:v>1643</c:v>
                </c:pt>
                <c:pt idx="18">
                  <c:v>608</c:v>
                </c:pt>
                <c:pt idx="19">
                  <c:v>90</c:v>
                </c:pt>
              </c:numCache>
            </c:numRef>
          </c:val>
        </c:ser>
        <c:dLbls>
          <c:showLegendKey val="0"/>
          <c:showVal val="0"/>
          <c:showCatName val="0"/>
          <c:showSerName val="0"/>
          <c:showPercent val="0"/>
          <c:showBubbleSize val="0"/>
        </c:dLbls>
        <c:gapWidth val="0"/>
        <c:gapDepth val="0"/>
        <c:shape val="box"/>
        <c:axId val="116658560"/>
        <c:axId val="116660096"/>
        <c:axId val="0"/>
      </c:bar3DChart>
      <c:catAx>
        <c:axId val="116658560"/>
        <c:scaling>
          <c:orientation val="minMax"/>
        </c:scaling>
        <c:delete val="1"/>
        <c:axPos val="l"/>
        <c:majorTickMark val="none"/>
        <c:minorTickMark val="none"/>
        <c:tickLblPos val="none"/>
        <c:crossAx val="116660096"/>
        <c:crosses val="autoZero"/>
        <c:auto val="1"/>
        <c:lblAlgn val="ctr"/>
        <c:lblOffset val="100"/>
        <c:noMultiLvlLbl val="0"/>
      </c:catAx>
      <c:valAx>
        <c:axId val="116660096"/>
        <c:scaling>
          <c:orientation val="minMax"/>
        </c:scaling>
        <c:delete val="0"/>
        <c:axPos val="b"/>
        <c:majorGridlines/>
        <c:numFmt formatCode="0;[Red]0" sourceLinked="1"/>
        <c:majorTickMark val="none"/>
        <c:minorTickMark val="none"/>
        <c:tickLblPos val="nextTo"/>
        <c:txPr>
          <a:bodyPr/>
          <a:lstStyle/>
          <a:p>
            <a:pPr>
              <a:defRPr sz="800">
                <a:latin typeface="+mn-lt"/>
              </a:defRPr>
            </a:pPr>
            <a:endParaRPr lang="it-IT"/>
          </a:p>
        </c:txPr>
        <c:crossAx val="116658560"/>
        <c:crosses val="autoZero"/>
        <c:crossBetween val="between"/>
        <c:majorUnit val="5000"/>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it-IT" sz="1200"/>
              <a:t>Incidenza T. stomaco</a:t>
            </a:r>
          </a:p>
        </c:rich>
      </c:tx>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'Incidenza Tumori'!$K$495</c:f>
              <c:strCache>
                <c:ptCount val="1"/>
                <c:pt idx="0">
                  <c:v>F</c:v>
                </c:pt>
              </c:strCache>
            </c:strRef>
          </c:tx>
          <c:spPr>
            <a:solidFill>
              <a:srgbClr val="FF66CC"/>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Tumori'!$J$496:$J$498</c:f>
              <c:strCache>
                <c:ptCount val="3"/>
                <c:pt idx="0">
                  <c:v>MANTOVA</c:v>
                </c:pt>
                <c:pt idx="1">
                  <c:v>CREMONA</c:v>
                </c:pt>
                <c:pt idx="2">
                  <c:v>CREMA</c:v>
                </c:pt>
              </c:strCache>
            </c:strRef>
          </c:cat>
          <c:val>
            <c:numRef>
              <c:f>'Incidenza Tumori'!$K$496:$K$498</c:f>
              <c:numCache>
                <c:formatCode>0.0</c:formatCode>
                <c:ptCount val="3"/>
                <c:pt idx="0">
                  <c:v>19.21</c:v>
                </c:pt>
                <c:pt idx="1">
                  <c:v>32</c:v>
                </c:pt>
                <c:pt idx="2">
                  <c:v>26.65</c:v>
                </c:pt>
              </c:numCache>
            </c:numRef>
          </c:val>
        </c:ser>
        <c:ser>
          <c:idx val="1"/>
          <c:order val="1"/>
          <c:tx>
            <c:strRef>
              <c:f>'Incidenza Tumori'!$L$495</c:f>
              <c:strCache>
                <c:ptCount val="1"/>
                <c:pt idx="0">
                  <c:v>M</c:v>
                </c:pt>
              </c:strCache>
            </c:strRef>
          </c:tx>
          <c:spPr>
            <a:solidFill>
              <a:srgbClr val="0066FF"/>
            </a:solidFill>
          </c:spPr>
          <c:invertIfNegative val="0"/>
          <c:dLbls>
            <c:txPr>
              <a:bodyPr/>
              <a:lstStyle/>
              <a:p>
                <a:pPr>
                  <a:defRPr sz="800" b="1"/>
                </a:pPr>
                <a:endParaRPr lang="it-IT"/>
              </a:p>
            </c:txPr>
            <c:showLegendKey val="0"/>
            <c:showVal val="1"/>
            <c:showCatName val="0"/>
            <c:showSerName val="0"/>
            <c:showPercent val="0"/>
            <c:showBubbleSize val="0"/>
            <c:showLeaderLines val="0"/>
          </c:dLbls>
          <c:cat>
            <c:strRef>
              <c:f>'Incidenza Tumori'!$J$496:$J$498</c:f>
              <c:strCache>
                <c:ptCount val="3"/>
                <c:pt idx="0">
                  <c:v>MANTOVA</c:v>
                </c:pt>
                <c:pt idx="1">
                  <c:v>CREMONA</c:v>
                </c:pt>
                <c:pt idx="2">
                  <c:v>CREMA</c:v>
                </c:pt>
              </c:strCache>
            </c:strRef>
          </c:cat>
          <c:val>
            <c:numRef>
              <c:f>'Incidenza Tumori'!$L$496:$L$498</c:f>
              <c:numCache>
                <c:formatCode>0.0</c:formatCode>
                <c:ptCount val="3"/>
                <c:pt idx="0">
                  <c:v>43.04</c:v>
                </c:pt>
                <c:pt idx="1">
                  <c:v>70.819999999999993</c:v>
                </c:pt>
                <c:pt idx="2">
                  <c:v>72.81</c:v>
                </c:pt>
              </c:numCache>
            </c:numRef>
          </c:val>
        </c:ser>
        <c:dLbls>
          <c:showLegendKey val="0"/>
          <c:showVal val="0"/>
          <c:showCatName val="0"/>
          <c:showSerName val="0"/>
          <c:showPercent val="0"/>
          <c:showBubbleSize val="0"/>
        </c:dLbls>
        <c:gapWidth val="150"/>
        <c:shape val="box"/>
        <c:axId val="83453440"/>
        <c:axId val="83454976"/>
        <c:axId val="0"/>
      </c:bar3DChart>
      <c:catAx>
        <c:axId val="83453440"/>
        <c:scaling>
          <c:orientation val="minMax"/>
        </c:scaling>
        <c:delete val="0"/>
        <c:axPos val="l"/>
        <c:majorTickMark val="none"/>
        <c:minorTickMark val="none"/>
        <c:tickLblPos val="nextTo"/>
        <c:txPr>
          <a:bodyPr/>
          <a:lstStyle/>
          <a:p>
            <a:pPr>
              <a:defRPr sz="800" b="1"/>
            </a:pPr>
            <a:endParaRPr lang="it-IT"/>
          </a:p>
        </c:txPr>
        <c:crossAx val="83454976"/>
        <c:crosses val="autoZero"/>
        <c:auto val="1"/>
        <c:lblAlgn val="ctr"/>
        <c:lblOffset val="100"/>
        <c:noMultiLvlLbl val="0"/>
      </c:catAx>
      <c:valAx>
        <c:axId val="83454976"/>
        <c:scaling>
          <c:orientation val="minMax"/>
        </c:scaling>
        <c:delete val="0"/>
        <c:axPos val="b"/>
        <c:majorGridlines/>
        <c:numFmt formatCode="0.0" sourceLinked="1"/>
        <c:majorTickMark val="none"/>
        <c:minorTickMark val="none"/>
        <c:tickLblPos val="nextTo"/>
        <c:txPr>
          <a:bodyPr/>
          <a:lstStyle/>
          <a:p>
            <a:pPr>
              <a:defRPr sz="800" b="1"/>
            </a:pPr>
            <a:endParaRPr lang="it-IT"/>
          </a:p>
        </c:txPr>
        <c:crossAx val="83453440"/>
        <c:crosses val="autoZero"/>
        <c:crossBetween val="between"/>
      </c:valAx>
    </c:plotArea>
    <c:plotVisOnly val="1"/>
    <c:dispBlanksAs val="gap"/>
    <c:showDLblsOverMax val="0"/>
  </c:chart>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Crema</a:t>
            </a:r>
          </a:p>
        </c:rich>
      </c:tx>
      <c:layout>
        <c:manualLayout>
          <c:xMode val="edge"/>
          <c:yMode val="edge"/>
          <c:x val="0.42411811023622081"/>
          <c:y val="1.9207685494063556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PIRAMIDI!$C$26</c:f>
              <c:strCache>
                <c:ptCount val="1"/>
                <c:pt idx="0">
                  <c:v>F</c:v>
                </c:pt>
              </c:strCache>
            </c:strRef>
          </c:tx>
          <c:spPr>
            <a:solidFill>
              <a:srgbClr val="FF66FF"/>
            </a:solidFill>
          </c:spPr>
          <c:invertIfNegative val="0"/>
          <c:cat>
            <c:strRef>
              <c:f>PIRAMIDI!$B$27:$B$46</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PIRAMIDI!$C$27:$C$46</c:f>
              <c:numCache>
                <c:formatCode>0;[Red]0</c:formatCode>
                <c:ptCount val="20"/>
                <c:pt idx="0">
                  <c:v>-3278</c:v>
                </c:pt>
                <c:pt idx="1">
                  <c:v>-3781</c:v>
                </c:pt>
                <c:pt idx="2">
                  <c:v>-3692</c:v>
                </c:pt>
                <c:pt idx="3">
                  <c:v>-3754</c:v>
                </c:pt>
                <c:pt idx="4">
                  <c:v>-3744</c:v>
                </c:pt>
                <c:pt idx="5">
                  <c:v>-4130</c:v>
                </c:pt>
                <c:pt idx="6">
                  <c:v>-4749</c:v>
                </c:pt>
                <c:pt idx="7">
                  <c:v>-5792</c:v>
                </c:pt>
                <c:pt idx="8">
                  <c:v>-6496</c:v>
                </c:pt>
                <c:pt idx="9">
                  <c:v>-6665</c:v>
                </c:pt>
                <c:pt idx="10">
                  <c:v>-6301</c:v>
                </c:pt>
                <c:pt idx="11">
                  <c:v>-5654</c:v>
                </c:pt>
                <c:pt idx="12">
                  <c:v>-5305</c:v>
                </c:pt>
                <c:pt idx="13">
                  <c:v>-5244</c:v>
                </c:pt>
                <c:pt idx="14">
                  <c:v>-3886</c:v>
                </c:pt>
                <c:pt idx="15">
                  <c:v>-4066</c:v>
                </c:pt>
                <c:pt idx="16">
                  <c:v>-3101</c:v>
                </c:pt>
                <c:pt idx="17">
                  <c:v>-2077</c:v>
                </c:pt>
                <c:pt idx="18">
                  <c:v>-1012</c:v>
                </c:pt>
                <c:pt idx="19">
                  <c:v>-236</c:v>
                </c:pt>
              </c:numCache>
            </c:numRef>
          </c:val>
        </c:ser>
        <c:ser>
          <c:idx val="1"/>
          <c:order val="1"/>
          <c:tx>
            <c:strRef>
              <c:f>PIRAMIDI!$D$26</c:f>
              <c:strCache>
                <c:ptCount val="1"/>
                <c:pt idx="0">
                  <c:v>M</c:v>
                </c:pt>
              </c:strCache>
            </c:strRef>
          </c:tx>
          <c:spPr>
            <a:solidFill>
              <a:srgbClr val="00B0F0"/>
            </a:solidFill>
          </c:spPr>
          <c:invertIfNegative val="0"/>
          <c:cat>
            <c:strRef>
              <c:f>PIRAMIDI!$B$27:$B$46</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PIRAMIDI!$D$27:$D$46</c:f>
              <c:numCache>
                <c:formatCode>General</c:formatCode>
                <c:ptCount val="20"/>
                <c:pt idx="0">
                  <c:v>3624</c:v>
                </c:pt>
                <c:pt idx="1">
                  <c:v>4194</c:v>
                </c:pt>
                <c:pt idx="2">
                  <c:v>3906</c:v>
                </c:pt>
                <c:pt idx="3">
                  <c:v>3804</c:v>
                </c:pt>
                <c:pt idx="4">
                  <c:v>3901</c:v>
                </c:pt>
                <c:pt idx="5">
                  <c:v>4147</c:v>
                </c:pt>
                <c:pt idx="6">
                  <c:v>4910</c:v>
                </c:pt>
                <c:pt idx="7">
                  <c:v>5749</c:v>
                </c:pt>
                <c:pt idx="8">
                  <c:v>7038</c:v>
                </c:pt>
                <c:pt idx="9">
                  <c:v>6981</c:v>
                </c:pt>
                <c:pt idx="10">
                  <c:v>6515</c:v>
                </c:pt>
                <c:pt idx="11">
                  <c:v>5516</c:v>
                </c:pt>
                <c:pt idx="12">
                  <c:v>5127</c:v>
                </c:pt>
                <c:pt idx="13">
                  <c:v>5226</c:v>
                </c:pt>
                <c:pt idx="14">
                  <c:v>3750</c:v>
                </c:pt>
                <c:pt idx="15">
                  <c:v>3435</c:v>
                </c:pt>
                <c:pt idx="16">
                  <c:v>1941</c:v>
                </c:pt>
                <c:pt idx="17">
                  <c:v>973</c:v>
                </c:pt>
                <c:pt idx="18">
                  <c:v>302</c:v>
                </c:pt>
                <c:pt idx="19">
                  <c:v>51</c:v>
                </c:pt>
              </c:numCache>
            </c:numRef>
          </c:val>
        </c:ser>
        <c:dLbls>
          <c:showLegendKey val="0"/>
          <c:showVal val="0"/>
          <c:showCatName val="0"/>
          <c:showSerName val="0"/>
          <c:showPercent val="0"/>
          <c:showBubbleSize val="0"/>
        </c:dLbls>
        <c:gapWidth val="0"/>
        <c:gapDepth val="0"/>
        <c:shape val="box"/>
        <c:axId val="122985088"/>
        <c:axId val="122986880"/>
        <c:axId val="0"/>
      </c:bar3DChart>
      <c:catAx>
        <c:axId val="122985088"/>
        <c:scaling>
          <c:orientation val="minMax"/>
        </c:scaling>
        <c:delete val="1"/>
        <c:axPos val="l"/>
        <c:majorTickMark val="none"/>
        <c:minorTickMark val="none"/>
        <c:tickLblPos val="none"/>
        <c:crossAx val="122986880"/>
        <c:crosses val="autoZero"/>
        <c:auto val="1"/>
        <c:lblAlgn val="ctr"/>
        <c:lblOffset val="100"/>
        <c:noMultiLvlLbl val="0"/>
      </c:catAx>
      <c:valAx>
        <c:axId val="122986880"/>
        <c:scaling>
          <c:orientation val="minMax"/>
        </c:scaling>
        <c:delete val="0"/>
        <c:axPos val="b"/>
        <c:majorGridlines/>
        <c:numFmt formatCode="0;[Red]0" sourceLinked="1"/>
        <c:majorTickMark val="none"/>
        <c:minorTickMark val="none"/>
        <c:tickLblPos val="nextTo"/>
        <c:txPr>
          <a:bodyPr/>
          <a:lstStyle/>
          <a:p>
            <a:pPr>
              <a:defRPr sz="800"/>
            </a:pPr>
            <a:endParaRPr lang="it-IT"/>
          </a:p>
        </c:txPr>
        <c:crossAx val="122985088"/>
        <c:crosses val="autoZero"/>
        <c:crossBetween val="between"/>
        <c:majorUnit val="5000"/>
      </c:valAx>
    </c:plotArea>
    <c:plotVisOnly val="1"/>
    <c:dispBlanksAs val="gap"/>
    <c:showDLblsOverMax val="0"/>
  </c:chart>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Popolazione straniera ATS</a:t>
            </a:r>
          </a:p>
        </c:rich>
      </c:tx>
      <c:layout>
        <c:manualLayout>
          <c:xMode val="edge"/>
          <c:yMode val="edge"/>
          <c:x val="0.16884976202041771"/>
          <c:y val="4.2887776983559694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PIRAMIDI!$B$110</c:f>
              <c:strCache>
                <c:ptCount val="1"/>
                <c:pt idx="0">
                  <c:v>F</c:v>
                </c:pt>
              </c:strCache>
            </c:strRef>
          </c:tx>
          <c:spPr>
            <a:solidFill>
              <a:srgbClr val="FF66FF"/>
            </a:solidFill>
          </c:spPr>
          <c:invertIfNegative val="0"/>
          <c:cat>
            <c:strRef>
              <c:f>PIRAMIDI!$A$111:$A$130</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PIRAMIDI!$B$111:$B$130</c:f>
              <c:numCache>
                <c:formatCode>0;[Red]0</c:formatCode>
                <c:ptCount val="20"/>
                <c:pt idx="0">
                  <c:v>-4083</c:v>
                </c:pt>
                <c:pt idx="1">
                  <c:v>-4195</c:v>
                </c:pt>
                <c:pt idx="2">
                  <c:v>-3096</c:v>
                </c:pt>
                <c:pt idx="3">
                  <c:v>-2771</c:v>
                </c:pt>
                <c:pt idx="4">
                  <c:v>-3135</c:v>
                </c:pt>
                <c:pt idx="5">
                  <c:v>-4963</c:v>
                </c:pt>
                <c:pt idx="6">
                  <c:v>-5782</c:v>
                </c:pt>
                <c:pt idx="7">
                  <c:v>-5952</c:v>
                </c:pt>
                <c:pt idx="8">
                  <c:v>-4950</c:v>
                </c:pt>
                <c:pt idx="9">
                  <c:v>-4056</c:v>
                </c:pt>
                <c:pt idx="10">
                  <c:v>-2907</c:v>
                </c:pt>
                <c:pt idx="11">
                  <c:v>-2232</c:v>
                </c:pt>
                <c:pt idx="12">
                  <c:v>-1491</c:v>
                </c:pt>
                <c:pt idx="13">
                  <c:v>-865</c:v>
                </c:pt>
                <c:pt idx="14">
                  <c:v>-473</c:v>
                </c:pt>
                <c:pt idx="15">
                  <c:v>-318</c:v>
                </c:pt>
                <c:pt idx="16">
                  <c:v>-153</c:v>
                </c:pt>
                <c:pt idx="17">
                  <c:v>-43</c:v>
                </c:pt>
                <c:pt idx="18">
                  <c:v>-13</c:v>
                </c:pt>
                <c:pt idx="19">
                  <c:v>-2</c:v>
                </c:pt>
              </c:numCache>
            </c:numRef>
          </c:val>
        </c:ser>
        <c:ser>
          <c:idx val="1"/>
          <c:order val="1"/>
          <c:tx>
            <c:strRef>
              <c:f>PIRAMIDI!$C$110</c:f>
              <c:strCache>
                <c:ptCount val="1"/>
                <c:pt idx="0">
                  <c:v>M</c:v>
                </c:pt>
              </c:strCache>
            </c:strRef>
          </c:tx>
          <c:spPr>
            <a:solidFill>
              <a:srgbClr val="00B0F0"/>
            </a:solidFill>
          </c:spPr>
          <c:invertIfNegative val="0"/>
          <c:cat>
            <c:strRef>
              <c:f>PIRAMIDI!$A$111:$A$130</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PIRAMIDI!$C$111:$C$130</c:f>
              <c:numCache>
                <c:formatCode>General</c:formatCode>
                <c:ptCount val="20"/>
                <c:pt idx="0">
                  <c:v>4391</c:v>
                </c:pt>
                <c:pt idx="1">
                  <c:v>4544</c:v>
                </c:pt>
                <c:pt idx="2">
                  <c:v>3391</c:v>
                </c:pt>
                <c:pt idx="3">
                  <c:v>3294</c:v>
                </c:pt>
                <c:pt idx="4">
                  <c:v>3491</c:v>
                </c:pt>
                <c:pt idx="5">
                  <c:v>4533</c:v>
                </c:pt>
                <c:pt idx="6">
                  <c:v>5196</c:v>
                </c:pt>
                <c:pt idx="7">
                  <c:v>5878</c:v>
                </c:pt>
                <c:pt idx="8">
                  <c:v>5018</c:v>
                </c:pt>
                <c:pt idx="9">
                  <c:v>4250</c:v>
                </c:pt>
                <c:pt idx="10">
                  <c:v>2736</c:v>
                </c:pt>
                <c:pt idx="11">
                  <c:v>1651</c:v>
                </c:pt>
                <c:pt idx="12">
                  <c:v>829</c:v>
                </c:pt>
                <c:pt idx="13">
                  <c:v>435</c:v>
                </c:pt>
                <c:pt idx="14">
                  <c:v>276</c:v>
                </c:pt>
                <c:pt idx="15">
                  <c:v>189</c:v>
                </c:pt>
                <c:pt idx="16">
                  <c:v>97</c:v>
                </c:pt>
                <c:pt idx="17">
                  <c:v>22</c:v>
                </c:pt>
                <c:pt idx="18">
                  <c:v>6</c:v>
                </c:pt>
                <c:pt idx="19">
                  <c:v>0</c:v>
                </c:pt>
              </c:numCache>
            </c:numRef>
          </c:val>
        </c:ser>
        <c:dLbls>
          <c:showLegendKey val="0"/>
          <c:showVal val="0"/>
          <c:showCatName val="0"/>
          <c:showSerName val="0"/>
          <c:showPercent val="0"/>
          <c:showBubbleSize val="0"/>
        </c:dLbls>
        <c:gapWidth val="0"/>
        <c:gapDepth val="6"/>
        <c:shape val="box"/>
        <c:axId val="123414016"/>
        <c:axId val="123415552"/>
        <c:axId val="0"/>
      </c:bar3DChart>
      <c:catAx>
        <c:axId val="123414016"/>
        <c:scaling>
          <c:orientation val="minMax"/>
        </c:scaling>
        <c:delete val="0"/>
        <c:axPos val="l"/>
        <c:majorTickMark val="none"/>
        <c:minorTickMark val="none"/>
        <c:tickLblPos val="nextTo"/>
        <c:txPr>
          <a:bodyPr/>
          <a:lstStyle/>
          <a:p>
            <a:pPr>
              <a:defRPr sz="600" b="1"/>
            </a:pPr>
            <a:endParaRPr lang="it-IT"/>
          </a:p>
        </c:txPr>
        <c:crossAx val="123415552"/>
        <c:crosses val="autoZero"/>
        <c:auto val="1"/>
        <c:lblAlgn val="ctr"/>
        <c:lblOffset val="100"/>
        <c:noMultiLvlLbl val="0"/>
      </c:catAx>
      <c:valAx>
        <c:axId val="123415552"/>
        <c:scaling>
          <c:orientation val="minMax"/>
          <c:max val="8000"/>
          <c:min val="-8000"/>
        </c:scaling>
        <c:delete val="0"/>
        <c:axPos val="b"/>
        <c:majorGridlines>
          <c:spPr>
            <a:ln>
              <a:noFill/>
            </a:ln>
          </c:spPr>
        </c:majorGridlines>
        <c:numFmt formatCode="0;[Red]0" sourceLinked="1"/>
        <c:majorTickMark val="none"/>
        <c:minorTickMark val="none"/>
        <c:tickLblPos val="nextTo"/>
        <c:txPr>
          <a:bodyPr/>
          <a:lstStyle/>
          <a:p>
            <a:pPr>
              <a:defRPr sz="800"/>
            </a:pPr>
            <a:endParaRPr lang="it-IT"/>
          </a:p>
        </c:txPr>
        <c:crossAx val="123414016"/>
        <c:crosses val="autoZero"/>
        <c:crossBetween val="between"/>
        <c:majorUnit val="4000"/>
      </c:valAx>
    </c:plotArea>
    <c:plotVisOnly val="1"/>
    <c:dispBlanksAs val="gap"/>
    <c:showDLblsOverMax val="0"/>
  </c:chart>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it-IT" sz="1000"/>
              <a:t>Popolazione italiana ATS</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PIRAMIDI!$B$159</c:f>
              <c:strCache>
                <c:ptCount val="1"/>
                <c:pt idx="0">
                  <c:v>F</c:v>
                </c:pt>
              </c:strCache>
            </c:strRef>
          </c:tx>
          <c:spPr>
            <a:solidFill>
              <a:srgbClr val="FF66FF"/>
            </a:solidFill>
          </c:spPr>
          <c:invertIfNegative val="0"/>
          <c:cat>
            <c:strRef>
              <c:f>PIRAMIDI!$A$160:$A$179</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PIRAMIDI!$B$160:$B$179</c:f>
              <c:numCache>
                <c:formatCode>0;[Red]0</c:formatCode>
                <c:ptCount val="20"/>
                <c:pt idx="0">
                  <c:v>-11598</c:v>
                </c:pt>
                <c:pt idx="1">
                  <c:v>-13580</c:v>
                </c:pt>
                <c:pt idx="2">
                  <c:v>-13680</c:v>
                </c:pt>
                <c:pt idx="3">
                  <c:v>-13866</c:v>
                </c:pt>
                <c:pt idx="4">
                  <c:v>-13617</c:v>
                </c:pt>
                <c:pt idx="5">
                  <c:v>-13998</c:v>
                </c:pt>
                <c:pt idx="6">
                  <c:v>-15796</c:v>
                </c:pt>
                <c:pt idx="7">
                  <c:v>-20497</c:v>
                </c:pt>
                <c:pt idx="8">
                  <c:v>-25684</c:v>
                </c:pt>
                <c:pt idx="9">
                  <c:v>-26888</c:v>
                </c:pt>
                <c:pt idx="10">
                  <c:v>-27190</c:v>
                </c:pt>
                <c:pt idx="11">
                  <c:v>-24213</c:v>
                </c:pt>
                <c:pt idx="12">
                  <c:v>-22805</c:v>
                </c:pt>
                <c:pt idx="13">
                  <c:v>-24517</c:v>
                </c:pt>
                <c:pt idx="14">
                  <c:v>-19296</c:v>
                </c:pt>
                <c:pt idx="15">
                  <c:v>-20696</c:v>
                </c:pt>
                <c:pt idx="16">
                  <c:v>-16990</c:v>
                </c:pt>
                <c:pt idx="17">
                  <c:v>-12484</c:v>
                </c:pt>
                <c:pt idx="18">
                  <c:v>-6493</c:v>
                </c:pt>
                <c:pt idx="19">
                  <c:v>-1562</c:v>
                </c:pt>
              </c:numCache>
            </c:numRef>
          </c:val>
        </c:ser>
        <c:ser>
          <c:idx val="1"/>
          <c:order val="1"/>
          <c:tx>
            <c:strRef>
              <c:f>PIRAMIDI!$C$159</c:f>
              <c:strCache>
                <c:ptCount val="1"/>
                <c:pt idx="0">
                  <c:v>M</c:v>
                </c:pt>
              </c:strCache>
            </c:strRef>
          </c:tx>
          <c:spPr>
            <a:solidFill>
              <a:srgbClr val="00B0F0"/>
            </a:solidFill>
          </c:spPr>
          <c:invertIfNegative val="0"/>
          <c:cat>
            <c:strRef>
              <c:f>PIRAMIDI!$A$160:$A$179</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c:v>
                </c:pt>
              </c:strCache>
            </c:strRef>
          </c:cat>
          <c:val>
            <c:numRef>
              <c:f>PIRAMIDI!$C$160:$C$179</c:f>
              <c:numCache>
                <c:formatCode>General</c:formatCode>
                <c:ptCount val="20"/>
                <c:pt idx="0">
                  <c:v>12738</c:v>
                </c:pt>
                <c:pt idx="1">
                  <c:v>14680</c:v>
                </c:pt>
                <c:pt idx="2">
                  <c:v>14660</c:v>
                </c:pt>
                <c:pt idx="3">
                  <c:v>14910</c:v>
                </c:pt>
                <c:pt idx="4">
                  <c:v>14451</c:v>
                </c:pt>
                <c:pt idx="5">
                  <c:v>14774</c:v>
                </c:pt>
                <c:pt idx="6">
                  <c:v>16905</c:v>
                </c:pt>
                <c:pt idx="7">
                  <c:v>21330</c:v>
                </c:pt>
                <c:pt idx="8">
                  <c:v>27143</c:v>
                </c:pt>
                <c:pt idx="9">
                  <c:v>28644</c:v>
                </c:pt>
                <c:pt idx="10">
                  <c:v>28078</c:v>
                </c:pt>
                <c:pt idx="11">
                  <c:v>24308</c:v>
                </c:pt>
                <c:pt idx="12">
                  <c:v>22172</c:v>
                </c:pt>
                <c:pt idx="13">
                  <c:v>23716</c:v>
                </c:pt>
                <c:pt idx="14">
                  <c:v>16687</c:v>
                </c:pt>
                <c:pt idx="15">
                  <c:v>16480</c:v>
                </c:pt>
                <c:pt idx="16">
                  <c:v>10891</c:v>
                </c:pt>
                <c:pt idx="17">
                  <c:v>5653</c:v>
                </c:pt>
                <c:pt idx="18">
                  <c:v>2041</c:v>
                </c:pt>
                <c:pt idx="19">
                  <c:v>349</c:v>
                </c:pt>
              </c:numCache>
            </c:numRef>
          </c:val>
        </c:ser>
        <c:dLbls>
          <c:showLegendKey val="0"/>
          <c:showVal val="0"/>
          <c:showCatName val="0"/>
          <c:showSerName val="0"/>
          <c:showPercent val="0"/>
          <c:showBubbleSize val="0"/>
        </c:dLbls>
        <c:gapWidth val="6"/>
        <c:gapDepth val="0"/>
        <c:shape val="box"/>
        <c:axId val="123240832"/>
        <c:axId val="123242368"/>
        <c:axId val="0"/>
      </c:bar3DChart>
      <c:catAx>
        <c:axId val="123240832"/>
        <c:scaling>
          <c:orientation val="minMax"/>
        </c:scaling>
        <c:delete val="0"/>
        <c:axPos val="l"/>
        <c:majorTickMark val="none"/>
        <c:minorTickMark val="none"/>
        <c:tickLblPos val="nextTo"/>
        <c:txPr>
          <a:bodyPr/>
          <a:lstStyle/>
          <a:p>
            <a:pPr>
              <a:defRPr sz="800"/>
            </a:pPr>
            <a:endParaRPr lang="it-IT"/>
          </a:p>
        </c:txPr>
        <c:crossAx val="123242368"/>
        <c:crosses val="autoZero"/>
        <c:auto val="1"/>
        <c:lblAlgn val="ctr"/>
        <c:lblOffset val="100"/>
        <c:noMultiLvlLbl val="0"/>
      </c:catAx>
      <c:valAx>
        <c:axId val="123242368"/>
        <c:scaling>
          <c:orientation val="minMax"/>
        </c:scaling>
        <c:delete val="0"/>
        <c:axPos val="b"/>
        <c:majorGridlines/>
        <c:numFmt formatCode="0;[Red]0" sourceLinked="1"/>
        <c:majorTickMark val="none"/>
        <c:minorTickMark val="none"/>
        <c:tickLblPos val="nextTo"/>
        <c:txPr>
          <a:bodyPr/>
          <a:lstStyle/>
          <a:p>
            <a:pPr>
              <a:defRPr sz="800"/>
            </a:pPr>
            <a:endParaRPr lang="it-IT"/>
          </a:p>
        </c:txPr>
        <c:crossAx val="12324083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636AF-CEE9-403C-B395-4218CE5CB3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5562</Words>
  <Characters>31705</Characters>
  <Application>Microsoft Office Word</Application>
  <DocSecurity>4</DocSecurity>
  <Lines>264</Lines>
  <Paragraphs>74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37193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RICCI PAOLO</dc:creator>
  <cp:lastModifiedBy>PIRONI VANDA</cp:lastModifiedBy>
  <cp:revision>2</cp:revision>
  <dcterms:created xsi:type="dcterms:W3CDTF">2017-03-06T12:54:00Z</dcterms:created>
  <dcterms:modified xsi:type="dcterms:W3CDTF">2017-03-06T12:54:00Z</dcterms:modified>
</cp:coreProperties>
</file>